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EF83" w14:textId="0AE6C9A4" w:rsidR="00C1348B" w:rsidRPr="00661DE9" w:rsidRDefault="000E3E48" w:rsidP="00661DE9">
      <w:pPr>
        <w:spacing w:after="0" w:line="240" w:lineRule="auto"/>
        <w:jc w:val="center"/>
        <w:rPr>
          <w:rFonts w:ascii="Times New Roman" w:eastAsia="Times New Roman" w:hAnsi="Times New Roman" w:cs="Times New Roman"/>
          <w:b/>
          <w:bCs/>
          <w:color w:val="00000A"/>
          <w:kern w:val="0"/>
          <w:sz w:val="32"/>
          <w:szCs w:val="32"/>
          <w14:ligatures w14:val="none"/>
        </w:rPr>
      </w:pPr>
      <w:r>
        <w:rPr>
          <w:rFonts w:ascii="Times New Roman" w:eastAsia="Times New Roman" w:hAnsi="Times New Roman" w:cs="Times New Roman"/>
          <w:b/>
          <w:bCs/>
          <w:color w:val="00000A"/>
          <w:kern w:val="0"/>
          <w:sz w:val="32"/>
          <w:szCs w:val="32"/>
          <w14:ligatures w14:val="none"/>
        </w:rPr>
        <w:t>RFP</w:t>
      </w:r>
      <w:r w:rsidR="00C1348B" w:rsidRPr="00661DE9">
        <w:rPr>
          <w:rFonts w:ascii="Times New Roman" w:eastAsia="Times New Roman" w:hAnsi="Times New Roman" w:cs="Times New Roman"/>
          <w:b/>
          <w:bCs/>
          <w:color w:val="00000A"/>
          <w:kern w:val="0"/>
          <w:sz w:val="32"/>
          <w:szCs w:val="32"/>
          <w14:ligatures w14:val="none"/>
        </w:rPr>
        <w:t xml:space="preserve"> 202</w:t>
      </w:r>
      <w:r w:rsidR="004B699B">
        <w:rPr>
          <w:rFonts w:ascii="Times New Roman" w:eastAsia="Times New Roman" w:hAnsi="Times New Roman" w:cs="Times New Roman"/>
          <w:b/>
          <w:bCs/>
          <w:color w:val="00000A"/>
          <w:kern w:val="0"/>
          <w:sz w:val="32"/>
          <w:szCs w:val="32"/>
          <w14:ligatures w14:val="none"/>
        </w:rPr>
        <w:t>6-</w:t>
      </w:r>
      <w:r w:rsidR="00D21FE8" w:rsidRPr="00D21FE8">
        <w:rPr>
          <w:rFonts w:ascii="Times New Roman" w:eastAsia="Times New Roman" w:hAnsi="Times New Roman" w:cs="Times New Roman"/>
          <w:b/>
          <w:bCs/>
          <w:color w:val="00000A"/>
          <w:kern w:val="0"/>
          <w:sz w:val="32"/>
          <w:szCs w:val="32"/>
          <w14:ligatures w14:val="none"/>
        </w:rPr>
        <w:t>0041</w:t>
      </w:r>
      <w:r w:rsidR="00C1348B" w:rsidRPr="00661DE9">
        <w:rPr>
          <w:rFonts w:ascii="Times New Roman" w:eastAsia="Times New Roman" w:hAnsi="Times New Roman" w:cs="Times New Roman"/>
          <w:b/>
          <w:bCs/>
          <w:color w:val="00000A"/>
          <w:kern w:val="0"/>
          <w:sz w:val="32"/>
          <w:szCs w:val="32"/>
          <w14:ligatures w14:val="none"/>
        </w:rPr>
        <w:t>/RICKARD</w:t>
      </w:r>
    </w:p>
    <w:p w14:paraId="6C4D073C" w14:textId="24BA6D37" w:rsidR="00D2179F" w:rsidRDefault="008D00D1" w:rsidP="00B67BAE">
      <w:pPr>
        <w:pStyle w:val="Caption"/>
        <w:jc w:val="center"/>
        <w:rPr>
          <w:rStyle w:val="normaltextrun"/>
          <w:rFonts w:ascii="Times New Roman" w:eastAsia="Times New Roman" w:hAnsi="Times New Roman" w:cs="Times New Roman"/>
          <w:color w:val="auto"/>
          <w:sz w:val="32"/>
          <w:szCs w:val="32"/>
        </w:rPr>
      </w:pPr>
      <w:r w:rsidRPr="008D00D1">
        <w:rPr>
          <w:rFonts w:ascii="Times New Roman" w:eastAsia="Times New Roman" w:hAnsi="Times New Roman" w:cs="Times New Roman"/>
          <w:color w:val="auto"/>
          <w:sz w:val="32"/>
          <w:szCs w:val="32"/>
        </w:rPr>
        <w:t>NetBackup license consolidation and renewal</w:t>
      </w:r>
      <w:r w:rsidR="00D2179F" w:rsidRPr="00D2179F">
        <w:rPr>
          <w:rStyle w:val="normaltextrun"/>
          <w:rFonts w:ascii="Times New Roman" w:eastAsia="Times New Roman" w:hAnsi="Times New Roman" w:cs="Times New Roman"/>
          <w:color w:val="auto"/>
          <w:sz w:val="32"/>
          <w:szCs w:val="32"/>
        </w:rPr>
        <w:t xml:space="preserve"> </w:t>
      </w:r>
    </w:p>
    <w:p w14:paraId="7ED60AF7" w14:textId="7F51285F" w:rsidR="00B67BAE" w:rsidRDefault="0033227D" w:rsidP="00B67BAE">
      <w:pPr>
        <w:pStyle w:val="Caption"/>
        <w:jc w:val="center"/>
        <w:rPr>
          <w:rStyle w:val="normaltextrun"/>
          <w:sz w:val="24"/>
          <w:szCs w:val="24"/>
          <w:lang w:val="en-GB"/>
        </w:rPr>
      </w:pPr>
      <w:r w:rsidRPr="00B67BAE">
        <w:rPr>
          <w:rStyle w:val="normaltextrun"/>
          <w:sz w:val="24"/>
          <w:szCs w:val="24"/>
          <w:lang w:val="en-GB"/>
        </w:rPr>
        <w:t xml:space="preserve">Attachment </w:t>
      </w:r>
      <w:r w:rsidR="00DB5C56">
        <w:rPr>
          <w:rStyle w:val="normaltextrun"/>
          <w:sz w:val="24"/>
          <w:szCs w:val="24"/>
          <w:lang w:val="en-GB"/>
        </w:rPr>
        <w:t>2</w:t>
      </w:r>
      <w:r w:rsidRPr="00B67BAE">
        <w:rPr>
          <w:rStyle w:val="normaltextrun"/>
          <w:sz w:val="24"/>
          <w:szCs w:val="24"/>
          <w:lang w:val="en-GB"/>
        </w:rPr>
        <w:t xml:space="preserve">: </w:t>
      </w:r>
      <w:r w:rsidR="00B67BAE" w:rsidRPr="00CD75A6">
        <w:rPr>
          <w:rStyle w:val="normaltextrun"/>
          <w:sz w:val="24"/>
          <w:szCs w:val="24"/>
          <w:lang w:val="en-GB"/>
        </w:rPr>
        <w:t>MINIMUM CONTENT OF TECHNICAL PROPOSAL AND TECHNICAL COMPLIANCE MATRIX</w:t>
      </w:r>
    </w:p>
    <w:p w14:paraId="59366AF6" w14:textId="48CC2EE1" w:rsidR="00D57441" w:rsidRPr="00D57441" w:rsidRDefault="00D57441" w:rsidP="00D57441">
      <w:pPr>
        <w:pStyle w:val="Caption"/>
        <w:spacing w:after="0"/>
        <w:jc w:val="both"/>
        <w:rPr>
          <w:rStyle w:val="normaltextrun"/>
          <w:rFonts w:ascii="Calibri" w:hAnsi="Calibri" w:cs="Calibri"/>
          <w:b w:val="0"/>
          <w:bCs w:val="0"/>
          <w:i/>
          <w:iCs/>
          <w:color w:val="000000"/>
          <w:sz w:val="22"/>
          <w:szCs w:val="22"/>
          <w:shd w:val="clear" w:color="auto" w:fill="FFFFFF"/>
        </w:rPr>
      </w:pPr>
      <w:r w:rsidRPr="00D57441">
        <w:rPr>
          <w:rStyle w:val="normaltextrun"/>
          <w:rFonts w:ascii="Calibri" w:hAnsi="Calibri" w:cs="Calibri"/>
          <w:color w:val="000000"/>
          <w:sz w:val="22"/>
          <w:szCs w:val="22"/>
          <w:shd w:val="clear" w:color="auto" w:fill="FFFFFF"/>
        </w:rPr>
        <w:t xml:space="preserve">Bidders are requested to demonstrate compliance with the requirements and add any further information in support of their Proposal. Please refer to the relevant section of the Terms of Reference for further explanation of the requirements. The information provided will form an integral part of the technical evaluation process.  </w:t>
      </w:r>
    </w:p>
    <w:p w14:paraId="17B2468C" w14:textId="77777777" w:rsidR="00D57441" w:rsidRPr="00D57441" w:rsidRDefault="00D57441" w:rsidP="00D57441">
      <w:pPr>
        <w:pStyle w:val="Caption"/>
        <w:spacing w:after="0"/>
        <w:jc w:val="both"/>
        <w:rPr>
          <w:rStyle w:val="normaltextrun"/>
          <w:rFonts w:ascii="Calibri" w:hAnsi="Calibri" w:cs="Calibri"/>
          <w:b w:val="0"/>
          <w:bCs w:val="0"/>
          <w:i/>
          <w:iCs/>
          <w:color w:val="000000"/>
          <w:sz w:val="22"/>
          <w:szCs w:val="22"/>
          <w:shd w:val="clear" w:color="auto" w:fill="FFFFFF"/>
        </w:rPr>
      </w:pPr>
    </w:p>
    <w:p w14:paraId="2D4920E8" w14:textId="77777777" w:rsidR="00D57441" w:rsidRPr="00D57441" w:rsidRDefault="00D57441" w:rsidP="00D57441">
      <w:pPr>
        <w:pStyle w:val="Caption"/>
        <w:spacing w:after="0"/>
        <w:jc w:val="both"/>
        <w:rPr>
          <w:rStyle w:val="eop"/>
          <w:rFonts w:ascii="Calibri" w:hAnsi="Calibri" w:cs="Calibri"/>
          <w:b w:val="0"/>
          <w:bCs w:val="0"/>
          <w:i/>
          <w:iCs/>
          <w:color w:val="000000"/>
          <w:sz w:val="22"/>
          <w:szCs w:val="22"/>
          <w:shd w:val="clear" w:color="auto" w:fill="FFFFFF"/>
        </w:rPr>
      </w:pPr>
      <w:r w:rsidRPr="00D57441">
        <w:rPr>
          <w:rStyle w:val="normaltextrun"/>
          <w:rFonts w:ascii="Calibri" w:hAnsi="Calibri" w:cs="Calibri"/>
          <w:color w:val="000000"/>
          <w:sz w:val="22"/>
          <w:szCs w:val="22"/>
          <w:shd w:val="clear" w:color="auto" w:fill="FFFFFF"/>
        </w:rPr>
        <w:t>Part II of this document must be completed and returned as part of the Proposal.</w:t>
      </w:r>
      <w:r w:rsidRPr="00D57441">
        <w:rPr>
          <w:rStyle w:val="eop"/>
          <w:rFonts w:ascii="Calibri" w:hAnsi="Calibri" w:cs="Calibri"/>
          <w:color w:val="000000"/>
          <w:sz w:val="22"/>
          <w:szCs w:val="22"/>
          <w:shd w:val="clear" w:color="auto" w:fill="FFFFFF"/>
        </w:rPr>
        <w:t> </w:t>
      </w:r>
    </w:p>
    <w:p w14:paraId="535C3568" w14:textId="77777777" w:rsidR="00D57441" w:rsidRDefault="00D57441" w:rsidP="00D57441">
      <w:pPr>
        <w:pStyle w:val="Caption"/>
        <w:spacing w:after="0"/>
        <w:jc w:val="both"/>
        <w:rPr>
          <w:rStyle w:val="normaltextrun"/>
          <w:rFonts w:ascii="Calibri" w:hAnsi="Calibri" w:cs="Calibri"/>
          <w:color w:val="000000"/>
          <w:sz w:val="22"/>
          <w:szCs w:val="22"/>
          <w:shd w:val="clear" w:color="auto" w:fill="FFFFFF"/>
        </w:rPr>
      </w:pPr>
    </w:p>
    <w:p w14:paraId="771885BA" w14:textId="12B1BA66" w:rsidR="00D57441" w:rsidRPr="00DB2037" w:rsidRDefault="00D57441" w:rsidP="00D57441">
      <w:pPr>
        <w:pStyle w:val="Caption"/>
        <w:jc w:val="both"/>
        <w:rPr>
          <w:rFonts w:ascii="Calibri" w:hAnsi="Calibri" w:cs="Calibri"/>
          <w:i/>
          <w:sz w:val="28"/>
          <w:szCs w:val="28"/>
        </w:rPr>
      </w:pPr>
      <w:r w:rsidRPr="00DB2037">
        <w:rPr>
          <w:rStyle w:val="normaltextrun"/>
          <w:rFonts w:ascii="Calibri" w:hAnsi="Calibri" w:cs="Calibri"/>
          <w:color w:val="000000"/>
          <w:sz w:val="28"/>
          <w:szCs w:val="28"/>
          <w:shd w:val="clear" w:color="auto" w:fill="FFFFFF"/>
        </w:rPr>
        <w:t>Part I</w:t>
      </w:r>
      <w:r w:rsidR="00277678">
        <w:rPr>
          <w:rStyle w:val="normaltextrun"/>
          <w:rFonts w:ascii="Calibri" w:hAnsi="Calibri" w:cs="Calibri"/>
          <w:color w:val="000000"/>
          <w:sz w:val="28"/>
          <w:szCs w:val="28"/>
          <w:shd w:val="clear" w:color="auto" w:fill="FFFFFF"/>
        </w:rPr>
        <w:t xml:space="preserve"> -</w:t>
      </w:r>
      <w:r w:rsidR="00277678" w:rsidRPr="00277678">
        <w:rPr>
          <w:rStyle w:val="normaltextrun"/>
          <w:rFonts w:ascii="Calibri" w:hAnsi="Calibri" w:cs="Calibri"/>
          <w:color w:val="000000"/>
          <w:sz w:val="28"/>
          <w:szCs w:val="28"/>
          <w:shd w:val="clear" w:color="auto" w:fill="FFFFFF"/>
        </w:rPr>
        <w:t xml:space="preserve"> Minimum Content of the Technical Proposal</w:t>
      </w:r>
    </w:p>
    <w:tbl>
      <w:tblPr>
        <w:tblW w:w="12277" w:type="dxa"/>
        <w:tblInd w:w="55" w:type="dxa"/>
        <w:tblLayout w:type="fixed"/>
        <w:tblCellMar>
          <w:top w:w="55" w:type="dxa"/>
          <w:left w:w="55" w:type="dxa"/>
          <w:bottom w:w="55" w:type="dxa"/>
          <w:right w:w="55" w:type="dxa"/>
        </w:tblCellMar>
        <w:tblLook w:val="0000" w:firstRow="0" w:lastRow="0" w:firstColumn="0" w:lastColumn="0" w:noHBand="0" w:noVBand="0"/>
      </w:tblPr>
      <w:tblGrid>
        <w:gridCol w:w="3063"/>
        <w:gridCol w:w="9214"/>
      </w:tblGrid>
      <w:tr w:rsidR="00D57441" w:rsidRPr="00D57441" w14:paraId="53AF29C9" w14:textId="77777777" w:rsidTr="00D57441">
        <w:trPr>
          <w:cantSplit/>
        </w:trPr>
        <w:tc>
          <w:tcPr>
            <w:tcW w:w="3063" w:type="dxa"/>
            <w:tcBorders>
              <w:top w:val="single" w:sz="1" w:space="0" w:color="000000"/>
              <w:left w:val="single" w:sz="1" w:space="0" w:color="000000"/>
              <w:bottom w:val="single" w:sz="1" w:space="0" w:color="000000"/>
            </w:tcBorders>
          </w:tcPr>
          <w:p w14:paraId="02CF15A7" w14:textId="77777777" w:rsidR="00D57441" w:rsidRPr="00D57441" w:rsidRDefault="00D57441" w:rsidP="0006589E">
            <w:pPr>
              <w:pStyle w:val="TableHeading"/>
              <w:snapToGrid w:val="0"/>
              <w:spacing w:after="0"/>
              <w:rPr>
                <w:rFonts w:ascii="Calibri" w:hAnsi="Calibri" w:cs="Calibri"/>
                <w:sz w:val="22"/>
                <w:szCs w:val="22"/>
              </w:rPr>
            </w:pPr>
            <w:r w:rsidRPr="00D57441">
              <w:rPr>
                <w:rFonts w:ascii="Calibri" w:hAnsi="Calibri" w:cs="Calibri"/>
                <w:sz w:val="22"/>
                <w:szCs w:val="22"/>
              </w:rPr>
              <w:t>Item</w:t>
            </w:r>
          </w:p>
        </w:tc>
        <w:tc>
          <w:tcPr>
            <w:tcW w:w="9214" w:type="dxa"/>
            <w:tcBorders>
              <w:top w:val="single" w:sz="1" w:space="0" w:color="000000"/>
              <w:bottom w:val="single" w:sz="1" w:space="0" w:color="000000"/>
              <w:right w:val="single" w:sz="1" w:space="0" w:color="000000"/>
            </w:tcBorders>
          </w:tcPr>
          <w:p w14:paraId="5D7E5C7E" w14:textId="77777777" w:rsidR="00D57441" w:rsidRPr="00D57441" w:rsidRDefault="00D57441" w:rsidP="0006589E">
            <w:pPr>
              <w:pStyle w:val="TableHeading"/>
              <w:snapToGrid w:val="0"/>
              <w:spacing w:after="0"/>
              <w:rPr>
                <w:rFonts w:ascii="Calibri" w:hAnsi="Calibri" w:cs="Calibri"/>
                <w:sz w:val="22"/>
                <w:szCs w:val="22"/>
              </w:rPr>
            </w:pPr>
            <w:r w:rsidRPr="00D57441">
              <w:rPr>
                <w:rFonts w:ascii="Calibri" w:hAnsi="Calibri" w:cs="Calibri"/>
                <w:sz w:val="22"/>
                <w:szCs w:val="22"/>
              </w:rPr>
              <w:t>Minimum content</w:t>
            </w:r>
          </w:p>
        </w:tc>
      </w:tr>
      <w:tr w:rsidR="00D57441" w:rsidRPr="00D57441" w14:paraId="7008BBFB" w14:textId="77777777" w:rsidTr="00D57441">
        <w:trPr>
          <w:cantSplit/>
        </w:trPr>
        <w:tc>
          <w:tcPr>
            <w:tcW w:w="3063" w:type="dxa"/>
            <w:tcBorders>
              <w:left w:val="single" w:sz="1" w:space="0" w:color="000000"/>
              <w:bottom w:val="single" w:sz="1" w:space="0" w:color="000000"/>
            </w:tcBorders>
          </w:tcPr>
          <w:p w14:paraId="01E2F6F7"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Executive Summary</w:t>
            </w:r>
          </w:p>
        </w:tc>
        <w:tc>
          <w:tcPr>
            <w:tcW w:w="9214" w:type="dxa"/>
            <w:tcBorders>
              <w:bottom w:val="single" w:sz="1" w:space="0" w:color="000000"/>
              <w:right w:val="single" w:sz="1" w:space="0" w:color="000000"/>
            </w:tcBorders>
          </w:tcPr>
          <w:p w14:paraId="7B290744" w14:textId="77777777" w:rsidR="00D57441" w:rsidRPr="00D57441" w:rsidRDefault="00D57441" w:rsidP="0006589E">
            <w:pPr>
              <w:pStyle w:val="TableContents"/>
              <w:snapToGrid w:val="0"/>
              <w:spacing w:after="0"/>
              <w:rPr>
                <w:rFonts w:ascii="Calibri" w:hAnsi="Calibri" w:cs="Calibri"/>
                <w:sz w:val="22"/>
                <w:szCs w:val="22"/>
              </w:rPr>
            </w:pPr>
            <w:r w:rsidRPr="00D57441">
              <w:rPr>
                <w:rFonts w:ascii="Calibri" w:hAnsi="Calibri" w:cs="Calibri"/>
                <w:sz w:val="22"/>
                <w:szCs w:val="22"/>
              </w:rPr>
              <w:t xml:space="preserve">Provide an overview of the proposal </w:t>
            </w:r>
          </w:p>
        </w:tc>
      </w:tr>
      <w:tr w:rsidR="00D57441" w:rsidRPr="00D57441" w14:paraId="6B3E2029" w14:textId="77777777" w:rsidTr="00D57441">
        <w:trPr>
          <w:cantSplit/>
        </w:trPr>
        <w:tc>
          <w:tcPr>
            <w:tcW w:w="12277" w:type="dxa"/>
            <w:gridSpan w:val="2"/>
            <w:tcBorders>
              <w:left w:val="single" w:sz="1" w:space="0" w:color="000000"/>
              <w:bottom w:val="single" w:sz="1" w:space="0" w:color="000000"/>
              <w:right w:val="single" w:sz="1" w:space="0" w:color="000000"/>
            </w:tcBorders>
          </w:tcPr>
          <w:p w14:paraId="1A207BE8"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Experience, Resources and Project Management</w:t>
            </w:r>
          </w:p>
        </w:tc>
      </w:tr>
      <w:tr w:rsidR="00D57441" w:rsidRPr="00D57441" w14:paraId="22E1816A" w14:textId="77777777" w:rsidTr="00D57441">
        <w:trPr>
          <w:cantSplit/>
          <w:trHeight w:val="2733"/>
        </w:trPr>
        <w:tc>
          <w:tcPr>
            <w:tcW w:w="3063" w:type="dxa"/>
            <w:tcBorders>
              <w:left w:val="single" w:sz="1" w:space="0" w:color="000000"/>
              <w:bottom w:val="single" w:sz="1" w:space="0" w:color="000000"/>
            </w:tcBorders>
          </w:tcPr>
          <w:p w14:paraId="4964BD87" w14:textId="77777777" w:rsidR="00D57441" w:rsidRPr="00D57441" w:rsidRDefault="00D57441" w:rsidP="00D57441">
            <w:pPr>
              <w:pStyle w:val="TableContents"/>
              <w:numPr>
                <w:ilvl w:val="1"/>
                <w:numId w:val="1"/>
              </w:numPr>
              <w:snapToGrid w:val="0"/>
              <w:spacing w:after="0"/>
              <w:rPr>
                <w:rFonts w:ascii="Calibri" w:hAnsi="Calibri" w:cs="Calibri"/>
                <w:sz w:val="22"/>
                <w:szCs w:val="22"/>
                <w:lang w:eastAsia="hi-IN" w:bidi="hi-IN"/>
              </w:rPr>
            </w:pPr>
            <w:r w:rsidRPr="00D57441">
              <w:rPr>
                <w:rFonts w:ascii="Calibri" w:hAnsi="Calibri" w:cs="Calibri"/>
                <w:sz w:val="22"/>
                <w:szCs w:val="22"/>
                <w:lang w:eastAsia="hi-IN" w:bidi="hi-IN"/>
              </w:rPr>
              <w:t>Corporate Profile and Values</w:t>
            </w:r>
          </w:p>
        </w:tc>
        <w:tc>
          <w:tcPr>
            <w:tcW w:w="9214" w:type="dxa"/>
            <w:tcBorders>
              <w:bottom w:val="single" w:sz="1" w:space="0" w:color="000000"/>
              <w:right w:val="single" w:sz="1" w:space="0" w:color="000000"/>
            </w:tcBorders>
          </w:tcPr>
          <w:p w14:paraId="38C7CEF7"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Brief background of the company, mission/vision, ownership, size, location, number of personnel by type profile, etc.</w:t>
            </w:r>
          </w:p>
          <w:p w14:paraId="645BBB49"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 xml:space="preserve">Company business structure and its authority to execute all Work under the Contract.  </w:t>
            </w:r>
          </w:p>
          <w:p w14:paraId="2E2CCC64"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 xml:space="preserve">If a consortium, provide a clear explanation of the business relationship between the members and governance for the execution of this project. </w:t>
            </w:r>
          </w:p>
          <w:p w14:paraId="07A9EF40"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In case the Bidder requires the services of subcontractors, the Proposal shall include:</w:t>
            </w:r>
          </w:p>
          <w:p w14:paraId="1D4C1257"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Relationship of the Bidder’s business to any subcontractor(s) that will be used.</w:t>
            </w:r>
          </w:p>
          <w:p w14:paraId="0A684DE7"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Names, addresses, legal status, and qualifications of major sub-contractor(s) proposed by your organization.</w:t>
            </w:r>
          </w:p>
          <w:p w14:paraId="5E815688"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hAnsi="Calibri" w:cs="Calibri"/>
                <w:lang w:val="en-GB" w:eastAsia="zh-CN"/>
              </w:rPr>
            </w:pPr>
            <w:r w:rsidRPr="00D57441">
              <w:rPr>
                <w:rFonts w:ascii="Calibri" w:eastAsia="Times New Roman" w:hAnsi="Calibri" w:cs="Calibri"/>
                <w:lang w:eastAsia="ar-SA"/>
              </w:rPr>
              <w:t>The scope of work and nature of subcontracting</w:t>
            </w:r>
            <w:r w:rsidRPr="00D57441">
              <w:rPr>
                <w:rFonts w:ascii="Calibri" w:hAnsi="Calibri" w:cs="Calibri"/>
                <w:lang w:val="en-GB" w:eastAsia="zh-CN"/>
              </w:rPr>
              <w:t>.</w:t>
            </w:r>
          </w:p>
        </w:tc>
      </w:tr>
      <w:tr w:rsidR="00D57441" w:rsidRPr="00D57441" w14:paraId="75B8F7EE" w14:textId="77777777" w:rsidTr="00D57441">
        <w:trPr>
          <w:cantSplit/>
        </w:trPr>
        <w:tc>
          <w:tcPr>
            <w:tcW w:w="3063" w:type="dxa"/>
            <w:tcBorders>
              <w:left w:val="single" w:sz="1" w:space="0" w:color="000000"/>
              <w:bottom w:val="single" w:sz="1" w:space="0" w:color="000000"/>
            </w:tcBorders>
          </w:tcPr>
          <w:p w14:paraId="402E8976" w14:textId="77777777" w:rsidR="00D57441" w:rsidRPr="00D57441" w:rsidRDefault="00D57441" w:rsidP="00D57441">
            <w:pPr>
              <w:pStyle w:val="TableContents"/>
              <w:numPr>
                <w:ilvl w:val="1"/>
                <w:numId w:val="1"/>
              </w:numPr>
              <w:snapToGrid w:val="0"/>
              <w:spacing w:after="0"/>
              <w:rPr>
                <w:rFonts w:ascii="Calibri" w:hAnsi="Calibri" w:cs="Calibri"/>
                <w:sz w:val="22"/>
                <w:szCs w:val="22"/>
              </w:rPr>
            </w:pPr>
            <w:r w:rsidRPr="00D57441">
              <w:rPr>
                <w:rFonts w:ascii="Calibri" w:hAnsi="Calibri" w:cs="Calibri"/>
                <w:sz w:val="22"/>
                <w:szCs w:val="22"/>
              </w:rPr>
              <w:t>Corporate Experience</w:t>
            </w:r>
          </w:p>
        </w:tc>
        <w:tc>
          <w:tcPr>
            <w:tcW w:w="9214" w:type="dxa"/>
            <w:tcBorders>
              <w:bottom w:val="single" w:sz="1" w:space="0" w:color="000000"/>
              <w:right w:val="single" w:sz="1" w:space="0" w:color="000000"/>
            </w:tcBorders>
          </w:tcPr>
          <w:p w14:paraId="545C586C" w14:textId="77777777" w:rsidR="00D57441" w:rsidRPr="00D57441" w:rsidRDefault="00D57441" w:rsidP="0006589E">
            <w:pPr>
              <w:autoSpaceDE w:val="0"/>
              <w:autoSpaceDN w:val="0"/>
              <w:adjustRightInd w:val="0"/>
              <w:spacing w:after="0" w:line="240" w:lineRule="auto"/>
              <w:rPr>
                <w:rFonts w:ascii="Calibri" w:hAnsi="Calibri" w:cs="Calibri"/>
              </w:rPr>
            </w:pPr>
            <w:r w:rsidRPr="00D57441">
              <w:rPr>
                <w:rFonts w:ascii="Calibri" w:eastAsia="Times New Roman" w:hAnsi="Calibri" w:cs="Calibri"/>
                <w:lang w:eastAsia="ar-SA"/>
              </w:rPr>
              <w:t xml:space="preserve">The proposal should detail </w:t>
            </w:r>
            <w:proofErr w:type="gramStart"/>
            <w:r w:rsidRPr="00D57441">
              <w:rPr>
                <w:rFonts w:ascii="Calibri" w:eastAsia="Times New Roman" w:hAnsi="Calibri" w:cs="Calibri"/>
                <w:lang w:eastAsia="ar-SA"/>
              </w:rPr>
              <w:t>the Bidder’s</w:t>
            </w:r>
            <w:proofErr w:type="gramEnd"/>
            <w:r w:rsidRPr="00D57441">
              <w:rPr>
                <w:rFonts w:ascii="Calibri" w:eastAsia="Times New Roman" w:hAnsi="Calibri" w:cs="Calibri"/>
                <w:lang w:eastAsia="ar-SA"/>
              </w:rPr>
              <w:t xml:space="preserve"> experience in executing work of similar scope and complexity.</w:t>
            </w:r>
            <w:r w:rsidRPr="00D57441">
              <w:rPr>
                <w:rFonts w:ascii="Calibri" w:hAnsi="Calibri" w:cs="Calibri"/>
              </w:rPr>
              <w:t xml:space="preserve"> </w:t>
            </w:r>
          </w:p>
        </w:tc>
      </w:tr>
      <w:tr w:rsidR="00D57441" w:rsidRPr="00D57441" w14:paraId="5FEBE03B" w14:textId="77777777" w:rsidTr="00D57441">
        <w:trPr>
          <w:cantSplit/>
        </w:trPr>
        <w:tc>
          <w:tcPr>
            <w:tcW w:w="3063" w:type="dxa"/>
            <w:tcBorders>
              <w:left w:val="single" w:sz="1" w:space="0" w:color="000000"/>
              <w:bottom w:val="single" w:sz="1" w:space="0" w:color="000000"/>
            </w:tcBorders>
          </w:tcPr>
          <w:p w14:paraId="540C575A" w14:textId="77777777" w:rsidR="00D57441" w:rsidRPr="00D57441" w:rsidRDefault="00D57441" w:rsidP="00D57441">
            <w:pPr>
              <w:pStyle w:val="TableContents"/>
              <w:numPr>
                <w:ilvl w:val="1"/>
                <w:numId w:val="1"/>
              </w:numPr>
              <w:snapToGrid w:val="0"/>
              <w:spacing w:after="0"/>
              <w:rPr>
                <w:rFonts w:ascii="Calibri" w:hAnsi="Calibri" w:cs="Calibri"/>
                <w:sz w:val="22"/>
                <w:szCs w:val="22"/>
                <w:lang w:eastAsia="hi-IN" w:bidi="hi-IN"/>
              </w:rPr>
            </w:pPr>
            <w:r w:rsidRPr="00D57441">
              <w:rPr>
                <w:rFonts w:ascii="Calibri" w:hAnsi="Calibri" w:cs="Calibri"/>
                <w:sz w:val="22"/>
                <w:szCs w:val="22"/>
                <w:lang w:eastAsia="hi-IN" w:bidi="hi-IN"/>
              </w:rPr>
              <w:t>Requirements for the Contractor</w:t>
            </w:r>
          </w:p>
        </w:tc>
        <w:tc>
          <w:tcPr>
            <w:tcW w:w="9214" w:type="dxa"/>
            <w:tcBorders>
              <w:bottom w:val="single" w:sz="1" w:space="0" w:color="000000"/>
              <w:right w:val="single" w:sz="1" w:space="0" w:color="000000"/>
            </w:tcBorders>
          </w:tcPr>
          <w:p w14:paraId="787FF521" w14:textId="77777777" w:rsidR="00D57441" w:rsidRPr="00D57441" w:rsidRDefault="00D57441" w:rsidP="0006589E">
            <w:pPr>
              <w:pStyle w:val="TableContents"/>
              <w:spacing w:after="0"/>
              <w:rPr>
                <w:rFonts w:ascii="Calibri" w:hAnsi="Calibri" w:cs="Calibri"/>
                <w:sz w:val="22"/>
                <w:szCs w:val="22"/>
                <w:lang w:eastAsia="hi-IN" w:bidi="hi-IN"/>
              </w:rPr>
            </w:pPr>
            <w:r w:rsidRPr="00D57441">
              <w:rPr>
                <w:rFonts w:ascii="Calibri" w:hAnsi="Calibri" w:cs="Calibri"/>
                <w:sz w:val="22"/>
                <w:szCs w:val="22"/>
              </w:rPr>
              <w:t>The Proposal should address and describe all requirements spelled out under Section 4 of the Terms of Reference (</w:t>
            </w:r>
            <w:proofErr w:type="spellStart"/>
            <w:r w:rsidRPr="00D57441">
              <w:rPr>
                <w:rFonts w:ascii="Calibri" w:hAnsi="Calibri" w:cs="Calibri"/>
                <w:sz w:val="22"/>
                <w:szCs w:val="22"/>
              </w:rPr>
              <w:t>ToR</w:t>
            </w:r>
            <w:proofErr w:type="spellEnd"/>
            <w:r w:rsidRPr="00D57441">
              <w:rPr>
                <w:rFonts w:ascii="Calibri" w:hAnsi="Calibri" w:cs="Calibri"/>
                <w:sz w:val="22"/>
                <w:szCs w:val="22"/>
                <w:lang w:eastAsia="hi-IN" w:bidi="hi-IN"/>
              </w:rPr>
              <w:t xml:space="preserve">). </w:t>
            </w:r>
          </w:p>
        </w:tc>
      </w:tr>
      <w:tr w:rsidR="00D57441" w:rsidRPr="00D57441" w14:paraId="439FC4C0" w14:textId="77777777" w:rsidTr="00D57441">
        <w:trPr>
          <w:cantSplit/>
        </w:trPr>
        <w:tc>
          <w:tcPr>
            <w:tcW w:w="12277" w:type="dxa"/>
            <w:gridSpan w:val="2"/>
            <w:tcBorders>
              <w:left w:val="single" w:sz="1" w:space="0" w:color="000000"/>
              <w:bottom w:val="single" w:sz="1" w:space="0" w:color="000000"/>
              <w:right w:val="single" w:sz="1" w:space="0" w:color="000000"/>
            </w:tcBorders>
          </w:tcPr>
          <w:p w14:paraId="77063157" w14:textId="474896EC" w:rsidR="00D57441" w:rsidRPr="00D57441" w:rsidRDefault="00D57441" w:rsidP="00D57441">
            <w:pPr>
              <w:pStyle w:val="TableContents"/>
              <w:numPr>
                <w:ilvl w:val="0"/>
                <w:numId w:val="1"/>
              </w:numPr>
              <w:snapToGrid w:val="0"/>
              <w:spacing w:after="0"/>
              <w:rPr>
                <w:rFonts w:ascii="Calibri" w:hAnsi="Calibri" w:cs="Calibri"/>
                <w:b/>
                <w:bCs/>
                <w:sz w:val="22"/>
                <w:szCs w:val="22"/>
              </w:rPr>
            </w:pPr>
            <w:r w:rsidRPr="00D57441">
              <w:rPr>
                <w:rFonts w:ascii="Calibri" w:hAnsi="Calibri" w:cs="Calibri"/>
                <w:b/>
                <w:bCs/>
                <w:sz w:val="22"/>
                <w:szCs w:val="22"/>
              </w:rPr>
              <w:t>Meeting the Requirements</w:t>
            </w:r>
            <w:r w:rsidR="00277678">
              <w:rPr>
                <w:rFonts w:ascii="Calibri" w:hAnsi="Calibri" w:cs="Calibri"/>
                <w:b/>
                <w:bCs/>
                <w:sz w:val="22"/>
                <w:szCs w:val="22"/>
              </w:rPr>
              <w:t>*</w:t>
            </w:r>
          </w:p>
        </w:tc>
      </w:tr>
      <w:tr w:rsidR="00D57441" w:rsidRPr="00D57441" w14:paraId="0A707890" w14:textId="77777777" w:rsidTr="00D57441">
        <w:trPr>
          <w:cantSplit/>
        </w:trPr>
        <w:tc>
          <w:tcPr>
            <w:tcW w:w="3063" w:type="dxa"/>
            <w:tcBorders>
              <w:left w:val="single" w:sz="1" w:space="0" w:color="000000"/>
              <w:bottom w:val="single" w:sz="1" w:space="0" w:color="000000"/>
            </w:tcBorders>
          </w:tcPr>
          <w:p w14:paraId="634BD430" w14:textId="46D2BA98" w:rsidR="00D57441" w:rsidRPr="00D57441" w:rsidRDefault="00D57441" w:rsidP="00D57441">
            <w:pPr>
              <w:pStyle w:val="TableContents"/>
              <w:numPr>
                <w:ilvl w:val="1"/>
                <w:numId w:val="1"/>
              </w:numPr>
              <w:snapToGrid w:val="0"/>
              <w:spacing w:after="0"/>
              <w:rPr>
                <w:rFonts w:ascii="Calibri" w:hAnsi="Calibri" w:cs="Calibri"/>
                <w:sz w:val="22"/>
                <w:szCs w:val="22"/>
              </w:rPr>
            </w:pPr>
            <w:r w:rsidRPr="00D57441">
              <w:rPr>
                <w:rFonts w:ascii="Calibri" w:hAnsi="Calibri" w:cs="Calibri"/>
                <w:sz w:val="22"/>
                <w:szCs w:val="22"/>
              </w:rPr>
              <w:lastRenderedPageBreak/>
              <w:t xml:space="preserve">Understanding of the </w:t>
            </w:r>
            <w:proofErr w:type="spellStart"/>
            <w:r w:rsidRPr="00D57441">
              <w:rPr>
                <w:rFonts w:ascii="Calibri" w:hAnsi="Calibri" w:cs="Calibri"/>
                <w:sz w:val="22"/>
                <w:szCs w:val="22"/>
              </w:rPr>
              <w:t>ToR</w:t>
            </w:r>
            <w:proofErr w:type="spellEnd"/>
            <w:r w:rsidR="00277678">
              <w:rPr>
                <w:rFonts w:ascii="Calibri" w:hAnsi="Calibri" w:cs="Calibri"/>
                <w:sz w:val="22"/>
                <w:szCs w:val="22"/>
              </w:rPr>
              <w:t>*</w:t>
            </w:r>
          </w:p>
        </w:tc>
        <w:tc>
          <w:tcPr>
            <w:tcW w:w="9214" w:type="dxa"/>
            <w:tcBorders>
              <w:bottom w:val="single" w:sz="1" w:space="0" w:color="000000"/>
              <w:right w:val="single" w:sz="1" w:space="0" w:color="000000"/>
            </w:tcBorders>
          </w:tcPr>
          <w:p w14:paraId="6F18187D" w14:textId="77777777" w:rsidR="00D57441" w:rsidRPr="00D57441" w:rsidRDefault="00D57441" w:rsidP="00D57441">
            <w:pPr>
              <w:pStyle w:val="TableContents"/>
              <w:numPr>
                <w:ilvl w:val="0"/>
                <w:numId w:val="4"/>
              </w:numPr>
              <w:snapToGrid w:val="0"/>
              <w:spacing w:after="0"/>
              <w:jc w:val="both"/>
              <w:rPr>
                <w:rFonts w:ascii="Calibri" w:hAnsi="Calibri" w:cs="Calibri"/>
                <w:sz w:val="22"/>
                <w:szCs w:val="22"/>
              </w:rPr>
            </w:pPr>
            <w:r w:rsidRPr="00D57441">
              <w:rPr>
                <w:rFonts w:ascii="Calibri" w:hAnsi="Calibri" w:cs="Calibri"/>
                <w:sz w:val="22"/>
                <w:szCs w:val="22"/>
              </w:rPr>
              <w:t xml:space="preserve">Please describe your understanding of the services that are to be provided under this </w:t>
            </w:r>
            <w:proofErr w:type="spellStart"/>
            <w:r w:rsidRPr="00D57441">
              <w:rPr>
                <w:rFonts w:ascii="Calibri" w:hAnsi="Calibri" w:cs="Calibri"/>
                <w:sz w:val="22"/>
                <w:szCs w:val="22"/>
              </w:rPr>
              <w:t>ToR</w:t>
            </w:r>
            <w:proofErr w:type="spellEnd"/>
            <w:r w:rsidRPr="00D57441">
              <w:rPr>
                <w:rFonts w:ascii="Calibri" w:hAnsi="Calibri" w:cs="Calibri"/>
                <w:sz w:val="22"/>
                <w:szCs w:val="22"/>
              </w:rPr>
              <w:t xml:space="preserve">, detailing key assumptions that </w:t>
            </w:r>
            <w:proofErr w:type="gramStart"/>
            <w:r w:rsidRPr="00D57441">
              <w:rPr>
                <w:rFonts w:ascii="Calibri" w:hAnsi="Calibri" w:cs="Calibri"/>
                <w:sz w:val="22"/>
                <w:szCs w:val="22"/>
              </w:rPr>
              <w:t>impact</w:t>
            </w:r>
            <w:proofErr w:type="gramEnd"/>
            <w:r w:rsidRPr="00D57441">
              <w:rPr>
                <w:rFonts w:ascii="Calibri" w:hAnsi="Calibri" w:cs="Calibri"/>
                <w:sz w:val="22"/>
                <w:szCs w:val="22"/>
              </w:rPr>
              <w:t xml:space="preserve"> the Technical Proposal.</w:t>
            </w:r>
          </w:p>
        </w:tc>
      </w:tr>
      <w:tr w:rsidR="00D57441" w:rsidRPr="00D57441" w14:paraId="4EC768CC" w14:textId="77777777" w:rsidTr="00D57441">
        <w:trPr>
          <w:cantSplit/>
        </w:trPr>
        <w:tc>
          <w:tcPr>
            <w:tcW w:w="12277" w:type="dxa"/>
            <w:gridSpan w:val="2"/>
            <w:tcBorders>
              <w:left w:val="single" w:sz="1" w:space="0" w:color="000000"/>
              <w:bottom w:val="single" w:sz="1" w:space="0" w:color="000000"/>
              <w:right w:val="single" w:sz="1" w:space="0" w:color="000000"/>
            </w:tcBorders>
          </w:tcPr>
          <w:p w14:paraId="17CDD740"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Contractor’s key staff</w:t>
            </w:r>
          </w:p>
        </w:tc>
      </w:tr>
      <w:tr w:rsidR="00D57441" w:rsidRPr="00D57441" w14:paraId="3F0EAFAE" w14:textId="77777777" w:rsidTr="00D57441">
        <w:trPr>
          <w:cantSplit/>
        </w:trPr>
        <w:tc>
          <w:tcPr>
            <w:tcW w:w="3063" w:type="dxa"/>
            <w:tcBorders>
              <w:left w:val="single" w:sz="1" w:space="0" w:color="000000"/>
              <w:bottom w:val="single" w:sz="1" w:space="0" w:color="000000"/>
            </w:tcBorders>
          </w:tcPr>
          <w:p w14:paraId="530C3CF0" w14:textId="77777777" w:rsidR="00D57441" w:rsidRPr="00D57441" w:rsidRDefault="00D57441" w:rsidP="0006589E">
            <w:pPr>
              <w:autoSpaceDE w:val="0"/>
              <w:autoSpaceDN w:val="0"/>
              <w:adjustRightInd w:val="0"/>
              <w:spacing w:after="0"/>
              <w:rPr>
                <w:rFonts w:ascii="Calibri" w:hAnsi="Calibri" w:cs="Calibri"/>
                <w:bCs/>
                <w:iCs/>
                <w:lang w:val="en-GB" w:eastAsia="zh-CN"/>
              </w:rPr>
            </w:pPr>
            <w:r w:rsidRPr="00D57441">
              <w:rPr>
                <w:rFonts w:ascii="Calibri" w:hAnsi="Calibri" w:cs="Calibri"/>
                <w:bCs/>
                <w:iCs/>
                <w:lang w:val="en-GB" w:eastAsia="zh-CN"/>
              </w:rPr>
              <w:t>4.1. Visa &amp; Work Permits</w:t>
            </w:r>
          </w:p>
          <w:p w14:paraId="178AB36F" w14:textId="77777777" w:rsidR="00D57441" w:rsidRPr="00D57441" w:rsidRDefault="00D57441" w:rsidP="0006589E">
            <w:pPr>
              <w:pStyle w:val="TableContents"/>
              <w:snapToGrid w:val="0"/>
              <w:spacing w:after="0"/>
              <w:rPr>
                <w:rFonts w:ascii="Calibri" w:hAnsi="Calibri" w:cs="Calibri"/>
                <w:sz w:val="22"/>
                <w:szCs w:val="22"/>
              </w:rPr>
            </w:pPr>
          </w:p>
        </w:tc>
        <w:tc>
          <w:tcPr>
            <w:tcW w:w="9214" w:type="dxa"/>
            <w:tcBorders>
              <w:bottom w:val="single" w:sz="1" w:space="0" w:color="000000"/>
              <w:right w:val="single" w:sz="1" w:space="0" w:color="000000"/>
            </w:tcBorders>
          </w:tcPr>
          <w:p w14:paraId="3F12608C" w14:textId="77777777" w:rsidR="00D57441" w:rsidRPr="00D57441" w:rsidRDefault="00D57441" w:rsidP="0006589E">
            <w:pPr>
              <w:pStyle w:val="TableContents"/>
              <w:snapToGrid w:val="0"/>
              <w:spacing w:after="0"/>
              <w:jc w:val="both"/>
              <w:rPr>
                <w:rFonts w:ascii="Calibri" w:hAnsi="Calibri" w:cs="Calibri"/>
                <w:sz w:val="22"/>
                <w:szCs w:val="22"/>
              </w:rPr>
            </w:pPr>
            <w:r w:rsidRPr="00D57441">
              <w:rPr>
                <w:rFonts w:ascii="Calibri" w:hAnsi="Calibri" w:cs="Calibri"/>
                <w:sz w:val="22"/>
                <w:szCs w:val="22"/>
              </w:rPr>
              <w:t xml:space="preserve">Provide written confirmation that the Bidder understands and agrees to take responsibility for obtaining any Visa and/or work permits, which may be required to perform the Work under the Contract. </w:t>
            </w:r>
            <w:proofErr w:type="gramStart"/>
            <w:r w:rsidRPr="00D57441">
              <w:rPr>
                <w:rFonts w:ascii="Calibri" w:hAnsi="Calibri" w:cs="Calibri"/>
                <w:sz w:val="22"/>
                <w:szCs w:val="22"/>
              </w:rPr>
              <w:t>The CTBTO</w:t>
            </w:r>
            <w:proofErr w:type="gramEnd"/>
            <w:r w:rsidRPr="00D57441">
              <w:rPr>
                <w:rFonts w:ascii="Calibri" w:hAnsi="Calibri" w:cs="Calibri"/>
                <w:sz w:val="22"/>
                <w:szCs w:val="22"/>
              </w:rPr>
              <w:t xml:space="preserve"> does not sponsor work permits for contractors.</w:t>
            </w:r>
          </w:p>
        </w:tc>
      </w:tr>
      <w:tr w:rsidR="00D57441" w:rsidRPr="00D57441" w14:paraId="01D17C1E" w14:textId="77777777" w:rsidTr="00D57441">
        <w:trPr>
          <w:cantSplit/>
          <w:trHeight w:val="539"/>
        </w:trPr>
        <w:tc>
          <w:tcPr>
            <w:tcW w:w="3063" w:type="dxa"/>
            <w:tcBorders>
              <w:left w:val="single" w:sz="1" w:space="0" w:color="000000"/>
              <w:bottom w:val="single" w:sz="1" w:space="0" w:color="000000"/>
            </w:tcBorders>
          </w:tcPr>
          <w:p w14:paraId="27E7DDBF" w14:textId="435107BD" w:rsidR="00D57441" w:rsidRPr="00D57441" w:rsidRDefault="00D57441" w:rsidP="0006589E">
            <w:pPr>
              <w:autoSpaceDE w:val="0"/>
              <w:autoSpaceDN w:val="0"/>
              <w:adjustRightInd w:val="0"/>
              <w:spacing w:after="0"/>
              <w:rPr>
                <w:rFonts w:ascii="Calibri" w:hAnsi="Calibri" w:cs="Calibri"/>
                <w:bCs/>
                <w:iCs/>
                <w:lang w:val="en-GB" w:eastAsia="zh-CN"/>
              </w:rPr>
            </w:pPr>
            <w:r w:rsidRPr="00D57441">
              <w:rPr>
                <w:rFonts w:ascii="Calibri" w:hAnsi="Calibri" w:cs="Calibri"/>
                <w:bCs/>
                <w:iCs/>
                <w:lang w:val="en-GB" w:eastAsia="zh-CN"/>
              </w:rPr>
              <w:t>4.2. Documentation and Reporting</w:t>
            </w:r>
          </w:p>
        </w:tc>
        <w:tc>
          <w:tcPr>
            <w:tcW w:w="9214" w:type="dxa"/>
            <w:tcBorders>
              <w:bottom w:val="single" w:sz="1" w:space="0" w:color="000000"/>
              <w:right w:val="single" w:sz="1" w:space="0" w:color="000000"/>
            </w:tcBorders>
          </w:tcPr>
          <w:p w14:paraId="05329D84" w14:textId="77777777" w:rsidR="00D57441" w:rsidRPr="00D57441" w:rsidRDefault="00D57441" w:rsidP="0006589E">
            <w:p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Provide written assurance that all reports, documentation, and communication (written and oral) supplied to the Commission shall be in English and submitted in electronic form.</w:t>
            </w:r>
          </w:p>
        </w:tc>
      </w:tr>
      <w:tr w:rsidR="00D57441" w:rsidRPr="00D57441" w14:paraId="15A4D362" w14:textId="77777777" w:rsidTr="00D57441">
        <w:trPr>
          <w:cantSplit/>
        </w:trPr>
        <w:tc>
          <w:tcPr>
            <w:tcW w:w="12277" w:type="dxa"/>
            <w:gridSpan w:val="2"/>
            <w:tcBorders>
              <w:left w:val="single" w:sz="1" w:space="0" w:color="000000"/>
              <w:bottom w:val="single" w:sz="1" w:space="0" w:color="000000"/>
              <w:right w:val="single" w:sz="1" w:space="0" w:color="000000"/>
            </w:tcBorders>
          </w:tcPr>
          <w:p w14:paraId="5C932FFD" w14:textId="77777777" w:rsidR="00D57441" w:rsidRPr="00D57441" w:rsidRDefault="00D57441" w:rsidP="00D57441">
            <w:pPr>
              <w:pStyle w:val="TableContents"/>
              <w:numPr>
                <w:ilvl w:val="0"/>
                <w:numId w:val="1"/>
              </w:numPr>
              <w:snapToGrid w:val="0"/>
              <w:spacing w:after="0"/>
              <w:rPr>
                <w:rFonts w:ascii="Calibri" w:hAnsi="Calibri" w:cs="Calibri"/>
                <w:sz w:val="22"/>
                <w:szCs w:val="22"/>
                <w:lang w:val="en-GB" w:eastAsia="zh-CN"/>
              </w:rPr>
            </w:pPr>
            <w:r w:rsidRPr="00D57441">
              <w:rPr>
                <w:rFonts w:ascii="Calibri" w:hAnsi="Calibri" w:cs="Calibri"/>
                <w:b/>
                <w:bCs/>
                <w:sz w:val="22"/>
                <w:szCs w:val="22"/>
                <w:lang w:eastAsia="hi-IN" w:bidi="hi-IN"/>
              </w:rPr>
              <w:t>Model Contract</w:t>
            </w:r>
          </w:p>
        </w:tc>
      </w:tr>
      <w:tr w:rsidR="00D57441" w:rsidRPr="00D57441" w14:paraId="347250BC" w14:textId="77777777" w:rsidTr="00D57441">
        <w:trPr>
          <w:cantSplit/>
          <w:trHeight w:val="460"/>
        </w:trPr>
        <w:tc>
          <w:tcPr>
            <w:tcW w:w="3063" w:type="dxa"/>
            <w:tcBorders>
              <w:left w:val="single" w:sz="1" w:space="0" w:color="000000"/>
              <w:bottom w:val="single" w:sz="1" w:space="0" w:color="000000"/>
            </w:tcBorders>
          </w:tcPr>
          <w:p w14:paraId="6F4E123E" w14:textId="77777777" w:rsidR="00D57441" w:rsidRPr="00D57441" w:rsidRDefault="00D57441" w:rsidP="0006589E">
            <w:pPr>
              <w:autoSpaceDE w:val="0"/>
              <w:autoSpaceDN w:val="0"/>
              <w:adjustRightInd w:val="0"/>
              <w:spacing w:after="0"/>
              <w:rPr>
                <w:rFonts w:ascii="Calibri" w:hAnsi="Calibri" w:cs="Calibri"/>
                <w:bCs/>
                <w:iCs/>
                <w:lang w:val="en-GB" w:eastAsia="zh-CN"/>
              </w:rPr>
            </w:pPr>
          </w:p>
        </w:tc>
        <w:tc>
          <w:tcPr>
            <w:tcW w:w="9214" w:type="dxa"/>
            <w:tcBorders>
              <w:bottom w:val="single" w:sz="1" w:space="0" w:color="000000"/>
              <w:right w:val="single" w:sz="1" w:space="0" w:color="000000"/>
            </w:tcBorders>
          </w:tcPr>
          <w:p w14:paraId="211EC4D8" w14:textId="77777777" w:rsidR="00D57441" w:rsidRPr="00D57441" w:rsidRDefault="00D57441" w:rsidP="00D57441">
            <w:pPr>
              <w:spacing w:after="0"/>
              <w:jc w:val="both"/>
              <w:rPr>
                <w:rFonts w:ascii="Calibri" w:eastAsia="Times New Roman" w:hAnsi="Calibri" w:cs="Calibri"/>
                <w:color w:val="000000"/>
                <w:kern w:val="0"/>
                <w14:ligatures w14:val="none"/>
              </w:rPr>
            </w:pPr>
            <w:r w:rsidRPr="00D57441">
              <w:rPr>
                <w:rFonts w:ascii="Calibri" w:eastAsia="Times New Roman" w:hAnsi="Calibri" w:cs="Calibri"/>
                <w:color w:val="000000"/>
                <w:kern w:val="0"/>
                <w14:ligatures w14:val="none"/>
              </w:rPr>
              <w:t xml:space="preserve">A statement that the bidder has carefully reviewed the Model Contract and its Annexes and </w:t>
            </w:r>
            <w:proofErr w:type="gramStart"/>
            <w:r w:rsidRPr="00D57441">
              <w:rPr>
                <w:rFonts w:ascii="Calibri" w:eastAsia="Times New Roman" w:hAnsi="Calibri" w:cs="Calibri"/>
                <w:color w:val="000000"/>
                <w:kern w:val="0"/>
                <w14:ligatures w14:val="none"/>
              </w:rPr>
              <w:t>is in agreement</w:t>
            </w:r>
            <w:proofErr w:type="gramEnd"/>
            <w:r w:rsidRPr="00D57441">
              <w:rPr>
                <w:rFonts w:ascii="Calibri" w:eastAsia="Times New Roman" w:hAnsi="Calibri" w:cs="Calibri"/>
                <w:color w:val="000000"/>
                <w:kern w:val="0"/>
                <w14:ligatures w14:val="none"/>
              </w:rPr>
              <w:t xml:space="preserve"> with all its terms and conditions.</w:t>
            </w:r>
          </w:p>
        </w:tc>
      </w:tr>
    </w:tbl>
    <w:p w14:paraId="209013F7" w14:textId="77777777" w:rsidR="00D57441" w:rsidRPr="004D10AD" w:rsidRDefault="00D57441" w:rsidP="00D57441"/>
    <w:p w14:paraId="3060342E" w14:textId="77777777" w:rsidR="00E361E5" w:rsidRDefault="00E361E5">
      <w:pPr>
        <w:rPr>
          <w:rStyle w:val="normaltextrun"/>
          <w:rFonts w:eastAsiaTheme="minorEastAsia" w:cs="Times New Roman"/>
          <w:b/>
          <w:bCs/>
          <w:color w:val="000000"/>
          <w:kern w:val="0"/>
          <w:sz w:val="28"/>
          <w:szCs w:val="28"/>
          <w:shd w:val="clear" w:color="auto" w:fill="FFFFFF"/>
          <w14:ligatures w14:val="none"/>
        </w:rPr>
      </w:pPr>
      <w:r>
        <w:rPr>
          <w:rStyle w:val="normaltextrun"/>
          <w:rFonts w:cs="Times New Roman"/>
          <w:color w:val="000000"/>
          <w:sz w:val="28"/>
          <w:szCs w:val="28"/>
          <w:shd w:val="clear" w:color="auto" w:fill="FFFFFF"/>
        </w:rPr>
        <w:br w:type="page"/>
      </w:r>
    </w:p>
    <w:p w14:paraId="525AB223" w14:textId="2AD0AEA4" w:rsidR="00D57441" w:rsidRDefault="00D57441" w:rsidP="00D57441">
      <w:pPr>
        <w:pStyle w:val="Caption"/>
        <w:rPr>
          <w:rStyle w:val="normaltextrun"/>
          <w:rFonts w:cs="Times New Roman"/>
          <w:color w:val="000000"/>
          <w:sz w:val="28"/>
          <w:szCs w:val="28"/>
          <w:shd w:val="clear" w:color="auto" w:fill="FFFFFF"/>
        </w:rPr>
      </w:pPr>
      <w:r w:rsidRPr="00DB2037">
        <w:rPr>
          <w:rStyle w:val="normaltextrun"/>
          <w:rFonts w:cs="Times New Roman"/>
          <w:color w:val="000000"/>
          <w:sz w:val="28"/>
          <w:szCs w:val="28"/>
          <w:shd w:val="clear" w:color="auto" w:fill="FFFFFF"/>
        </w:rPr>
        <w:lastRenderedPageBreak/>
        <w:t>Part II – Compliance Matrix</w:t>
      </w:r>
      <w:r w:rsidR="00E361E5">
        <w:rPr>
          <w:rStyle w:val="normaltextrun"/>
          <w:rFonts w:cs="Times New Roman"/>
          <w:color w:val="000000"/>
          <w:sz w:val="28"/>
          <w:szCs w:val="28"/>
          <w:shd w:val="clear" w:color="auto" w:fill="FFFFFF"/>
        </w:rPr>
        <w:t xml:space="preserve"> – Please </w:t>
      </w:r>
      <w:r w:rsidR="00E361E5" w:rsidRPr="00E361E5">
        <w:rPr>
          <w:rStyle w:val="normaltextrun"/>
          <w:rFonts w:cs="Times New Roman"/>
          <w:color w:val="000000"/>
          <w:sz w:val="28"/>
          <w:szCs w:val="28"/>
          <w:shd w:val="clear" w:color="auto" w:fill="FFFFFF"/>
        </w:rPr>
        <w:t xml:space="preserve">complete and return as part of the </w:t>
      </w:r>
      <w:r w:rsidR="00E361E5">
        <w:rPr>
          <w:rStyle w:val="normaltextrun"/>
          <w:rFonts w:cs="Times New Roman"/>
          <w:color w:val="000000"/>
          <w:sz w:val="28"/>
          <w:szCs w:val="28"/>
          <w:shd w:val="clear" w:color="auto" w:fill="FFFFFF"/>
        </w:rPr>
        <w:t xml:space="preserve">Technical </w:t>
      </w:r>
      <w:r w:rsidR="00E361E5" w:rsidRPr="00E361E5">
        <w:rPr>
          <w:rStyle w:val="normaltextrun"/>
          <w:rFonts w:cs="Times New Roman"/>
          <w:color w:val="000000"/>
          <w:sz w:val="28"/>
          <w:szCs w:val="28"/>
          <w:shd w:val="clear" w:color="auto" w:fill="FFFFFF"/>
        </w:rPr>
        <w:t>Proposal</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796"/>
        <w:gridCol w:w="1843"/>
        <w:gridCol w:w="2465"/>
      </w:tblGrid>
      <w:tr w:rsidR="00333A35" w:rsidRPr="00333A35" w14:paraId="3D255EB9" w14:textId="77777777" w:rsidTr="00914174">
        <w:tc>
          <w:tcPr>
            <w:tcW w:w="84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9CDF38B" w14:textId="77777777" w:rsidR="00333A35" w:rsidRPr="00333A35" w:rsidRDefault="00333A35" w:rsidP="00333A35">
            <w:pPr>
              <w:jc w:val="center"/>
              <w:rPr>
                <w:b/>
                <w:bCs/>
                <w:sz w:val="24"/>
                <w:szCs w:val="24"/>
              </w:rPr>
            </w:pPr>
            <w:proofErr w:type="spellStart"/>
            <w:r w:rsidRPr="00333A35">
              <w:rPr>
                <w:b/>
                <w:bCs/>
                <w:sz w:val="24"/>
                <w:szCs w:val="24"/>
              </w:rPr>
              <w:t>ToR</w:t>
            </w:r>
            <w:proofErr w:type="spellEnd"/>
            <w:r w:rsidRPr="00333A35">
              <w:rPr>
                <w:b/>
                <w:bCs/>
                <w:sz w:val="24"/>
                <w:szCs w:val="24"/>
              </w:rPr>
              <w:t xml:space="preserve"> Ref:</w:t>
            </w:r>
          </w:p>
        </w:tc>
        <w:tc>
          <w:tcPr>
            <w:tcW w:w="779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D04E0CE" w14:textId="77777777" w:rsidR="00333A35" w:rsidRPr="00333A35" w:rsidRDefault="00333A35" w:rsidP="00333A35">
            <w:pPr>
              <w:jc w:val="center"/>
              <w:rPr>
                <w:b/>
                <w:bCs/>
                <w:sz w:val="24"/>
                <w:szCs w:val="24"/>
              </w:rPr>
            </w:pPr>
            <w:r w:rsidRPr="00333A35">
              <w:rPr>
                <w:b/>
                <w:bCs/>
                <w:sz w:val="24"/>
                <w:szCs w:val="24"/>
              </w:rPr>
              <w:t>Requirement</w:t>
            </w:r>
          </w:p>
        </w:tc>
        <w:tc>
          <w:tcPr>
            <w:tcW w:w="184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F31195A" w14:textId="77777777" w:rsidR="00333A35" w:rsidRPr="00333A35" w:rsidRDefault="00333A35" w:rsidP="00333A35">
            <w:pPr>
              <w:jc w:val="center"/>
              <w:rPr>
                <w:b/>
                <w:bCs/>
                <w:sz w:val="24"/>
                <w:szCs w:val="24"/>
              </w:rPr>
            </w:pPr>
            <w:r w:rsidRPr="00333A35">
              <w:rPr>
                <w:b/>
                <w:bCs/>
                <w:sz w:val="24"/>
                <w:szCs w:val="24"/>
              </w:rPr>
              <w:t>Bidder Compliance (Yes/No)</w:t>
            </w:r>
          </w:p>
        </w:tc>
        <w:tc>
          <w:tcPr>
            <w:tcW w:w="246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9A6555B" w14:textId="77777777" w:rsidR="00333A35" w:rsidRPr="00333A35" w:rsidRDefault="00333A35" w:rsidP="00333A35">
            <w:pPr>
              <w:jc w:val="center"/>
              <w:rPr>
                <w:b/>
                <w:bCs/>
                <w:sz w:val="24"/>
                <w:szCs w:val="24"/>
              </w:rPr>
            </w:pPr>
            <w:r w:rsidRPr="00333A35">
              <w:rPr>
                <w:b/>
                <w:bCs/>
                <w:sz w:val="24"/>
                <w:szCs w:val="24"/>
              </w:rPr>
              <w:t>Section in the Proposal (ensure each requirement is sufficiently described in the Proposal)</w:t>
            </w:r>
          </w:p>
        </w:tc>
      </w:tr>
      <w:tr w:rsidR="00333A35" w:rsidRPr="00B95F60" w14:paraId="5BAAA5A5" w14:textId="77777777" w:rsidTr="00914174">
        <w:tc>
          <w:tcPr>
            <w:tcW w:w="846" w:type="dxa"/>
          </w:tcPr>
          <w:p w14:paraId="3A66F2D2" w14:textId="77777777" w:rsidR="00333A35" w:rsidRPr="00B95F60" w:rsidRDefault="00333A35" w:rsidP="00600802">
            <w:pPr>
              <w:rPr>
                <w:b/>
                <w:bCs/>
              </w:rPr>
            </w:pPr>
            <w:r w:rsidRPr="00B95F60">
              <w:rPr>
                <w:b/>
                <w:bCs/>
              </w:rPr>
              <w:t>2.</w:t>
            </w:r>
          </w:p>
        </w:tc>
        <w:tc>
          <w:tcPr>
            <w:tcW w:w="7796" w:type="dxa"/>
          </w:tcPr>
          <w:p w14:paraId="1A7E267A" w14:textId="73AFF18B" w:rsidR="00333A35" w:rsidRPr="00B95F60" w:rsidRDefault="008C28C2" w:rsidP="00600802">
            <w:pPr>
              <w:rPr>
                <w:b/>
                <w:bCs/>
              </w:rPr>
            </w:pPr>
            <w:r>
              <w:rPr>
                <w:b/>
                <w:bCs/>
              </w:rPr>
              <w:t>BA</w:t>
            </w:r>
            <w:r w:rsidR="00B05DBD">
              <w:rPr>
                <w:b/>
                <w:bCs/>
              </w:rPr>
              <w:t>CKGROUND</w:t>
            </w:r>
          </w:p>
        </w:tc>
        <w:tc>
          <w:tcPr>
            <w:tcW w:w="1843" w:type="dxa"/>
          </w:tcPr>
          <w:p w14:paraId="7496D508" w14:textId="77777777" w:rsidR="00333A35" w:rsidRPr="00B95F60" w:rsidRDefault="00333A35" w:rsidP="00600802">
            <w:pPr>
              <w:rPr>
                <w:b/>
                <w:bCs/>
              </w:rPr>
            </w:pPr>
          </w:p>
        </w:tc>
        <w:tc>
          <w:tcPr>
            <w:tcW w:w="2465" w:type="dxa"/>
          </w:tcPr>
          <w:p w14:paraId="59779562" w14:textId="77777777" w:rsidR="00333A35" w:rsidRPr="00B95F60" w:rsidRDefault="00333A35" w:rsidP="00600802">
            <w:pPr>
              <w:rPr>
                <w:b/>
                <w:bCs/>
              </w:rPr>
            </w:pPr>
          </w:p>
        </w:tc>
      </w:tr>
      <w:tr w:rsidR="008C28C2" w:rsidRPr="00B873CC" w14:paraId="50C5167D" w14:textId="77777777" w:rsidTr="00914174">
        <w:tc>
          <w:tcPr>
            <w:tcW w:w="846" w:type="dxa"/>
          </w:tcPr>
          <w:p w14:paraId="32DC488C" w14:textId="77777777" w:rsidR="008C28C2" w:rsidRPr="00B873CC" w:rsidRDefault="008C28C2" w:rsidP="00600802"/>
        </w:tc>
        <w:tc>
          <w:tcPr>
            <w:tcW w:w="7796" w:type="dxa"/>
          </w:tcPr>
          <w:p w14:paraId="0543E77C" w14:textId="77777777" w:rsidR="008C28C2" w:rsidRDefault="008C28C2" w:rsidP="008C28C2">
            <w:r>
              <w:t>The Commission currently operates a hybrid licensing model for Cohesity NetBackup, consisting of both perpetual front-end TB licenses (with active support) and subscription-based licenses.</w:t>
            </w:r>
          </w:p>
          <w:p w14:paraId="191424B1" w14:textId="77777777" w:rsidR="008C28C2" w:rsidRDefault="008C28C2" w:rsidP="008C28C2">
            <w:r>
              <w:t>The existing licensing footprint includes:</w:t>
            </w:r>
          </w:p>
          <w:p w14:paraId="34D046F6" w14:textId="77777777" w:rsidR="008C28C2" w:rsidRDefault="008C28C2" w:rsidP="008C28C2">
            <w:r>
              <w:t>•</w:t>
            </w:r>
            <w:r>
              <w:tab/>
              <w:t>80 TB perpetual licenses (33 + 17 + 30 TB) with Premium (24x7) support, all expiring on 03. October 2026.</w:t>
            </w:r>
          </w:p>
          <w:p w14:paraId="353F08BC" w14:textId="77777777" w:rsidR="008C28C2" w:rsidRDefault="008C28C2" w:rsidP="008C28C2">
            <w:r>
              <w:t>•</w:t>
            </w:r>
            <w:r>
              <w:tab/>
              <w:t>30 TB subscription licenses with Premium (24x7) support, expiring on 15. December 2026.</w:t>
            </w:r>
          </w:p>
          <w:p w14:paraId="47D7EC37" w14:textId="4E3EE512" w:rsidR="008C28C2" w:rsidRDefault="008C28C2" w:rsidP="008C28C2">
            <w:r>
              <w:t>The Commission seeks to renew support while evaluating optimization, consolidation, and cost-efficiency opportunities.</w:t>
            </w:r>
          </w:p>
        </w:tc>
        <w:tc>
          <w:tcPr>
            <w:tcW w:w="1843" w:type="dxa"/>
          </w:tcPr>
          <w:p w14:paraId="418DCD27" w14:textId="77777777" w:rsidR="008C28C2" w:rsidRPr="00B873CC" w:rsidRDefault="008C28C2" w:rsidP="00600802"/>
        </w:tc>
        <w:tc>
          <w:tcPr>
            <w:tcW w:w="2465" w:type="dxa"/>
          </w:tcPr>
          <w:p w14:paraId="78041C78" w14:textId="77777777" w:rsidR="008C28C2" w:rsidRPr="00B873CC" w:rsidRDefault="008C28C2" w:rsidP="00600802"/>
        </w:tc>
      </w:tr>
      <w:tr w:rsidR="008C28C2" w:rsidRPr="00B873CC" w14:paraId="3D718393" w14:textId="77777777" w:rsidTr="00914174">
        <w:tc>
          <w:tcPr>
            <w:tcW w:w="846" w:type="dxa"/>
          </w:tcPr>
          <w:p w14:paraId="3CA18B00" w14:textId="1280715B" w:rsidR="008C28C2" w:rsidRPr="00B873CC" w:rsidRDefault="00B22C33" w:rsidP="008C28C2">
            <w:r>
              <w:rPr>
                <w:b/>
                <w:bCs/>
              </w:rPr>
              <w:t>3</w:t>
            </w:r>
            <w:r w:rsidR="008C28C2" w:rsidRPr="00B95F60">
              <w:rPr>
                <w:b/>
                <w:bCs/>
              </w:rPr>
              <w:t>.</w:t>
            </w:r>
          </w:p>
        </w:tc>
        <w:tc>
          <w:tcPr>
            <w:tcW w:w="7796" w:type="dxa"/>
          </w:tcPr>
          <w:p w14:paraId="25FA8612" w14:textId="2ED1F7A4" w:rsidR="008C28C2" w:rsidRPr="00B873CC" w:rsidRDefault="008C28C2" w:rsidP="008C28C2">
            <w:r w:rsidRPr="008C28C2">
              <w:rPr>
                <w:b/>
                <w:bCs/>
              </w:rPr>
              <w:t>SCOPE OF WORK</w:t>
            </w:r>
          </w:p>
        </w:tc>
        <w:tc>
          <w:tcPr>
            <w:tcW w:w="1843" w:type="dxa"/>
          </w:tcPr>
          <w:p w14:paraId="16F62B9F" w14:textId="77777777" w:rsidR="008C28C2" w:rsidRPr="00B873CC" w:rsidRDefault="008C28C2" w:rsidP="008C28C2"/>
        </w:tc>
        <w:tc>
          <w:tcPr>
            <w:tcW w:w="2465" w:type="dxa"/>
          </w:tcPr>
          <w:p w14:paraId="7CF42662" w14:textId="77777777" w:rsidR="008C28C2" w:rsidRPr="00B873CC" w:rsidRDefault="008C28C2" w:rsidP="008C28C2"/>
        </w:tc>
      </w:tr>
      <w:tr w:rsidR="008C28C2" w:rsidRPr="00B873CC" w14:paraId="16164D72" w14:textId="77777777" w:rsidTr="00914174">
        <w:tc>
          <w:tcPr>
            <w:tcW w:w="846" w:type="dxa"/>
          </w:tcPr>
          <w:p w14:paraId="750ECA5D" w14:textId="77777777" w:rsidR="008C28C2" w:rsidRPr="00B873CC" w:rsidRDefault="008C28C2" w:rsidP="008C28C2"/>
        </w:tc>
        <w:tc>
          <w:tcPr>
            <w:tcW w:w="7796" w:type="dxa"/>
          </w:tcPr>
          <w:p w14:paraId="386E8AE3" w14:textId="77777777" w:rsidR="00BF6FD6" w:rsidRDefault="00BF6FD6" w:rsidP="00BF6FD6">
            <w:r>
              <w:t>The Commission desires to engage a Contractor to streamline and renew licenses of the Commission’s Cohesity Netbackup infrastructure.</w:t>
            </w:r>
          </w:p>
          <w:p w14:paraId="03D301CE" w14:textId="77777777" w:rsidR="00BF6FD6" w:rsidRDefault="00BF6FD6" w:rsidP="00BF6FD6">
            <w:r>
              <w:t>The objectives of this engagement are:</w:t>
            </w:r>
          </w:p>
          <w:p w14:paraId="50F8FF6C" w14:textId="77777777" w:rsidR="00BF6FD6" w:rsidRDefault="00BF6FD6" w:rsidP="00BF6FD6">
            <w:r>
              <w:t>•</w:t>
            </w:r>
            <w:r>
              <w:tab/>
              <w:t xml:space="preserve">Consolidate all licenses into a single </w:t>
            </w:r>
            <w:proofErr w:type="gramStart"/>
            <w:r>
              <w:t>agreement;</w:t>
            </w:r>
            <w:proofErr w:type="gramEnd"/>
            <w:r>
              <w:t xml:space="preserve"> </w:t>
            </w:r>
          </w:p>
          <w:p w14:paraId="7B6BA5ED" w14:textId="77777777" w:rsidR="00BF6FD6" w:rsidRDefault="00BF6FD6" w:rsidP="00BF6FD6">
            <w:r>
              <w:t>•</w:t>
            </w:r>
            <w:r>
              <w:tab/>
              <w:t xml:space="preserve">Align all licenses to a common co-termination </w:t>
            </w:r>
            <w:proofErr w:type="gramStart"/>
            <w:r>
              <w:t>date;</w:t>
            </w:r>
            <w:proofErr w:type="gramEnd"/>
            <w:r>
              <w:t xml:space="preserve"> </w:t>
            </w:r>
          </w:p>
          <w:p w14:paraId="6BC9712D" w14:textId="77777777" w:rsidR="00BF6FD6" w:rsidRDefault="00BF6FD6" w:rsidP="00BF6FD6">
            <w:r>
              <w:lastRenderedPageBreak/>
              <w:t>•</w:t>
            </w:r>
            <w:r>
              <w:tab/>
              <w:t xml:space="preserve">Maintain Premium (24x7) support </w:t>
            </w:r>
            <w:proofErr w:type="gramStart"/>
            <w:r>
              <w:t>coverage;</w:t>
            </w:r>
            <w:proofErr w:type="gramEnd"/>
            <w:r>
              <w:t xml:space="preserve"> </w:t>
            </w:r>
          </w:p>
          <w:p w14:paraId="2A07C3C2" w14:textId="77777777" w:rsidR="00BF6FD6" w:rsidRDefault="00BF6FD6" w:rsidP="00BF6FD6">
            <w:r>
              <w:t>•</w:t>
            </w:r>
            <w:r>
              <w:tab/>
              <w:t xml:space="preserve">Provide scalable and flexible licensing </w:t>
            </w:r>
            <w:proofErr w:type="gramStart"/>
            <w:r>
              <w:t>options;</w:t>
            </w:r>
            <w:proofErr w:type="gramEnd"/>
            <w:r>
              <w:t xml:space="preserve"> </w:t>
            </w:r>
          </w:p>
          <w:p w14:paraId="06EDBF6C" w14:textId="77777777" w:rsidR="00BF6FD6" w:rsidRDefault="00BF6FD6" w:rsidP="00BF6FD6">
            <w:r>
              <w:t>•</w:t>
            </w:r>
            <w:r>
              <w:tab/>
              <w:t>Optimize total cost over a multi-year period (preferably a minimum two (2) years, up to a maximum of five (5) years); and</w:t>
            </w:r>
          </w:p>
          <w:p w14:paraId="53763C8F" w14:textId="69D552D2" w:rsidR="008C28C2" w:rsidRPr="00B873CC" w:rsidRDefault="00BF6FD6" w:rsidP="00BF6FD6">
            <w:r>
              <w:t>•</w:t>
            </w:r>
            <w:r>
              <w:tab/>
              <w:t>Provide optional license packages.</w:t>
            </w:r>
          </w:p>
        </w:tc>
        <w:tc>
          <w:tcPr>
            <w:tcW w:w="1843" w:type="dxa"/>
          </w:tcPr>
          <w:p w14:paraId="79FE0DA4" w14:textId="77777777" w:rsidR="008C28C2" w:rsidRPr="00B873CC" w:rsidRDefault="008C28C2" w:rsidP="008C28C2"/>
        </w:tc>
        <w:tc>
          <w:tcPr>
            <w:tcW w:w="2465" w:type="dxa"/>
          </w:tcPr>
          <w:p w14:paraId="225E48A9" w14:textId="77777777" w:rsidR="008C28C2" w:rsidRPr="00B873CC" w:rsidRDefault="008C28C2" w:rsidP="008C28C2"/>
        </w:tc>
      </w:tr>
      <w:tr w:rsidR="008C28C2" w:rsidRPr="00B873CC" w14:paraId="1B35B45C" w14:textId="77777777" w:rsidTr="00666120">
        <w:trPr>
          <w:trHeight w:val="2004"/>
        </w:trPr>
        <w:tc>
          <w:tcPr>
            <w:tcW w:w="846" w:type="dxa"/>
          </w:tcPr>
          <w:p w14:paraId="70A5BDEA" w14:textId="3C52232C" w:rsidR="008C28C2" w:rsidRPr="00B873CC" w:rsidRDefault="008C28C2" w:rsidP="008C28C2">
            <w:r>
              <w:t>3.1</w:t>
            </w:r>
          </w:p>
        </w:tc>
        <w:tc>
          <w:tcPr>
            <w:tcW w:w="7796" w:type="dxa"/>
          </w:tcPr>
          <w:p w14:paraId="083B6A60" w14:textId="77777777" w:rsidR="00A60DE4" w:rsidRDefault="00A60DE4" w:rsidP="00A60DE4">
            <w:r>
              <w:t>The Contractor shall assess the feasibility of, and recommend the most effective way to:</w:t>
            </w:r>
          </w:p>
          <w:p w14:paraId="6A6C97F9" w14:textId="77777777" w:rsidR="00A60DE4" w:rsidRDefault="00A60DE4" w:rsidP="00A60DE4">
            <w:r>
              <w:t>•</w:t>
            </w:r>
            <w:r>
              <w:tab/>
              <w:t xml:space="preserve">Consolidate all licenses under a single licensing </w:t>
            </w:r>
            <w:proofErr w:type="gramStart"/>
            <w:r>
              <w:t>model;</w:t>
            </w:r>
            <w:proofErr w:type="gramEnd"/>
          </w:p>
          <w:p w14:paraId="630F2703" w14:textId="77777777" w:rsidR="00A60DE4" w:rsidRDefault="00A60DE4" w:rsidP="00A60DE4">
            <w:r>
              <w:t>•</w:t>
            </w:r>
            <w:r>
              <w:tab/>
              <w:t>Migrate to Flexible Licensing (if beneficial); and</w:t>
            </w:r>
          </w:p>
          <w:p w14:paraId="11AEF79A" w14:textId="57588C15" w:rsidR="008C28C2" w:rsidRPr="00B873CC" w:rsidRDefault="00A60DE4" w:rsidP="00A60DE4">
            <w:r>
              <w:t>•</w:t>
            </w:r>
            <w:r>
              <w:tab/>
              <w:t>Co-terminate all agreements to a unified renewal date.</w:t>
            </w:r>
          </w:p>
        </w:tc>
        <w:tc>
          <w:tcPr>
            <w:tcW w:w="1843" w:type="dxa"/>
          </w:tcPr>
          <w:p w14:paraId="005D79BC" w14:textId="77777777" w:rsidR="008C28C2" w:rsidRPr="00B873CC" w:rsidRDefault="008C28C2" w:rsidP="008C28C2"/>
        </w:tc>
        <w:tc>
          <w:tcPr>
            <w:tcW w:w="2465" w:type="dxa"/>
          </w:tcPr>
          <w:p w14:paraId="1D13C9E9" w14:textId="77777777" w:rsidR="008C28C2" w:rsidRPr="00B873CC" w:rsidRDefault="008C28C2" w:rsidP="008C28C2"/>
        </w:tc>
      </w:tr>
      <w:tr w:rsidR="008C28C2" w:rsidRPr="00B873CC" w14:paraId="45CE7C6C" w14:textId="77777777" w:rsidTr="00914174">
        <w:tc>
          <w:tcPr>
            <w:tcW w:w="846" w:type="dxa"/>
          </w:tcPr>
          <w:p w14:paraId="7654DE92" w14:textId="5F7248B0" w:rsidR="008C28C2" w:rsidRPr="00B873CC" w:rsidRDefault="00381B79" w:rsidP="008C28C2">
            <w:r>
              <w:t>3.2</w:t>
            </w:r>
          </w:p>
        </w:tc>
        <w:tc>
          <w:tcPr>
            <w:tcW w:w="7796" w:type="dxa"/>
          </w:tcPr>
          <w:p w14:paraId="394EDEB8" w14:textId="77777777" w:rsidR="00895E60" w:rsidRDefault="00895E60" w:rsidP="00895E60">
            <w:r>
              <w:t>The Contractor shall renew support for all licenses, meeting or exceeding Cohesity’s Premium (24x7) support.</w:t>
            </w:r>
          </w:p>
          <w:p w14:paraId="510D13A3" w14:textId="77777777" w:rsidR="00895E60" w:rsidRDefault="00895E60" w:rsidP="00895E60">
            <w:r>
              <w:t>The duration of the licenses shall be for a multi-year period, preferably a minimum two (2) years, up to a maximum of five (5) years, with a combination of a fixed term with optional annual extensions.</w:t>
            </w:r>
          </w:p>
          <w:p w14:paraId="08FB8AB3" w14:textId="78C4B15D" w:rsidR="008C28C2" w:rsidRPr="00B873CC" w:rsidRDefault="00895E60" w:rsidP="00895E60">
            <w:r>
              <w:t xml:space="preserve">The Contractor shall provide a licensing combination which </w:t>
            </w:r>
            <w:proofErr w:type="spellStart"/>
            <w:r>
              <w:t>optimises</w:t>
            </w:r>
            <w:proofErr w:type="spellEnd"/>
            <w:r>
              <w:t xml:space="preserve"> cost-savings via bundling or conversion and Trade-in or migration incentives (if available).</w:t>
            </w:r>
          </w:p>
        </w:tc>
        <w:tc>
          <w:tcPr>
            <w:tcW w:w="1843" w:type="dxa"/>
          </w:tcPr>
          <w:p w14:paraId="3504A0C9" w14:textId="77777777" w:rsidR="008C28C2" w:rsidRPr="00B873CC" w:rsidRDefault="008C28C2" w:rsidP="008C28C2"/>
        </w:tc>
        <w:tc>
          <w:tcPr>
            <w:tcW w:w="2465" w:type="dxa"/>
          </w:tcPr>
          <w:p w14:paraId="0D991BDC" w14:textId="77777777" w:rsidR="008C28C2" w:rsidRPr="00B873CC" w:rsidRDefault="008C28C2" w:rsidP="008C28C2"/>
        </w:tc>
      </w:tr>
      <w:tr w:rsidR="00381B79" w:rsidRPr="00B873CC" w14:paraId="2334DD4E" w14:textId="77777777" w:rsidTr="00914174">
        <w:tc>
          <w:tcPr>
            <w:tcW w:w="846" w:type="dxa"/>
          </w:tcPr>
          <w:p w14:paraId="233117EF" w14:textId="2F6F26EA" w:rsidR="00381B79" w:rsidRDefault="00261F0C" w:rsidP="008C28C2">
            <w:r>
              <w:t>3.3</w:t>
            </w:r>
          </w:p>
        </w:tc>
        <w:tc>
          <w:tcPr>
            <w:tcW w:w="7796" w:type="dxa"/>
          </w:tcPr>
          <w:p w14:paraId="0FAFDB71" w14:textId="77777777" w:rsidR="00261F0C" w:rsidRDefault="00261F0C" w:rsidP="00261F0C">
            <w:r>
              <w:t>The Contractor shall provide, as an option, separate pricing for additional subscription capacity packages under a Flexible/Front-End Data licensing model. For the duration of the Contract the Commission shall have the right but not the obligation to request any quantity of the packages listed below. If the Commission requires one or more items, it shall notify the Contractor in writing through a Formal Request for Delivery (FRD).</w:t>
            </w:r>
          </w:p>
          <w:p w14:paraId="65E3B784" w14:textId="77777777" w:rsidR="00261F0C" w:rsidRDefault="00261F0C" w:rsidP="00261F0C">
            <w:r>
              <w:t>•</w:t>
            </w:r>
            <w:r>
              <w:tab/>
              <w:t xml:space="preserve">Option A: Additional package of 10 TB </w:t>
            </w:r>
          </w:p>
          <w:p w14:paraId="6C042302" w14:textId="77777777" w:rsidR="00261F0C" w:rsidRDefault="00261F0C" w:rsidP="00261F0C">
            <w:r>
              <w:lastRenderedPageBreak/>
              <w:t>•</w:t>
            </w:r>
            <w:r>
              <w:tab/>
              <w:t xml:space="preserve">Option B: Additional package of 30 TB </w:t>
            </w:r>
          </w:p>
          <w:p w14:paraId="75BFFEAE" w14:textId="77777777" w:rsidR="00261F0C" w:rsidRDefault="00261F0C" w:rsidP="00261F0C">
            <w:r>
              <w:t>•</w:t>
            </w:r>
            <w:r>
              <w:tab/>
              <w:t xml:space="preserve">Option C: Additional package of 50 TB </w:t>
            </w:r>
          </w:p>
          <w:p w14:paraId="619A5C42" w14:textId="77777777" w:rsidR="00261F0C" w:rsidRDefault="00261F0C" w:rsidP="00261F0C">
            <w:r>
              <w:t>Pricing must include:</w:t>
            </w:r>
          </w:p>
          <w:p w14:paraId="79D24456" w14:textId="77777777" w:rsidR="00261F0C" w:rsidRDefault="00261F0C" w:rsidP="00261F0C">
            <w:r>
              <w:t>•</w:t>
            </w:r>
            <w:r>
              <w:tab/>
              <w:t xml:space="preserve">Unit cost per TB </w:t>
            </w:r>
          </w:p>
          <w:p w14:paraId="12949AD2" w14:textId="77777777" w:rsidR="00261F0C" w:rsidRDefault="00261F0C" w:rsidP="00261F0C">
            <w:r>
              <w:t>•</w:t>
            </w:r>
            <w:r>
              <w:tab/>
              <w:t xml:space="preserve">Volume discounts (if applicable) </w:t>
            </w:r>
          </w:p>
          <w:p w14:paraId="2D6FEA17" w14:textId="6A041C44" w:rsidR="00381B79" w:rsidRDefault="00261F0C" w:rsidP="00261F0C">
            <w:r>
              <w:t>•</w:t>
            </w:r>
            <w:r>
              <w:tab/>
              <w:t>Terms for on-demand expansion</w:t>
            </w:r>
          </w:p>
        </w:tc>
        <w:tc>
          <w:tcPr>
            <w:tcW w:w="1843" w:type="dxa"/>
          </w:tcPr>
          <w:p w14:paraId="39744C06" w14:textId="77777777" w:rsidR="00381B79" w:rsidRPr="00B873CC" w:rsidRDefault="00381B79" w:rsidP="008C28C2"/>
        </w:tc>
        <w:tc>
          <w:tcPr>
            <w:tcW w:w="2465" w:type="dxa"/>
          </w:tcPr>
          <w:p w14:paraId="3D954996" w14:textId="77777777" w:rsidR="00381B79" w:rsidRPr="00B873CC" w:rsidRDefault="00381B79" w:rsidP="008C28C2"/>
        </w:tc>
      </w:tr>
      <w:tr w:rsidR="00895E60" w:rsidRPr="00895E60" w14:paraId="58CEAC80" w14:textId="77777777" w:rsidTr="00914174">
        <w:tc>
          <w:tcPr>
            <w:tcW w:w="846" w:type="dxa"/>
          </w:tcPr>
          <w:p w14:paraId="6CCA5A75" w14:textId="3049797B" w:rsidR="00895E60" w:rsidRPr="00895E60" w:rsidRDefault="00895E60" w:rsidP="008C28C2">
            <w:r w:rsidRPr="00895E60">
              <w:t>3.4</w:t>
            </w:r>
          </w:p>
        </w:tc>
        <w:tc>
          <w:tcPr>
            <w:tcW w:w="7796" w:type="dxa"/>
          </w:tcPr>
          <w:p w14:paraId="29FD2C79" w14:textId="3EA462C3" w:rsidR="00895E60" w:rsidRPr="00895E60" w:rsidRDefault="00D53E1C" w:rsidP="008C28C2">
            <w:r w:rsidRPr="00D53E1C">
              <w:t>The area of data management and security is a fast-evolving industry with a continuous supply of new technologies and products. The Contractor shall provide the Commission with access to the latest technology to all relevant Cohesity licensing. In the event the Commission requests a Product/Service of the Contractor which is not included in the Contract, the Contractor shall provide all technical and commercial information relevant about the Product/Service to be added to the Product/Service List. Additional items, products and Services shall be mutually agreed between the Commission and the Contractor.</w:t>
            </w:r>
          </w:p>
        </w:tc>
        <w:tc>
          <w:tcPr>
            <w:tcW w:w="1843" w:type="dxa"/>
          </w:tcPr>
          <w:p w14:paraId="709FDC12" w14:textId="77777777" w:rsidR="00895E60" w:rsidRPr="00895E60" w:rsidRDefault="00895E60" w:rsidP="008C28C2"/>
        </w:tc>
        <w:tc>
          <w:tcPr>
            <w:tcW w:w="2465" w:type="dxa"/>
          </w:tcPr>
          <w:p w14:paraId="3FCA8EA2" w14:textId="77777777" w:rsidR="00895E60" w:rsidRPr="00895E60" w:rsidRDefault="00895E60" w:rsidP="008C28C2"/>
        </w:tc>
      </w:tr>
      <w:tr w:rsidR="008C28C2" w:rsidRPr="00B95F60" w14:paraId="3C1D8B5C" w14:textId="77777777" w:rsidTr="00914174">
        <w:tc>
          <w:tcPr>
            <w:tcW w:w="846" w:type="dxa"/>
          </w:tcPr>
          <w:p w14:paraId="1A9E2074" w14:textId="332388CA" w:rsidR="008C28C2" w:rsidRPr="00B95F60" w:rsidRDefault="008C28C2" w:rsidP="008C28C2">
            <w:pPr>
              <w:rPr>
                <w:b/>
                <w:bCs/>
              </w:rPr>
            </w:pPr>
            <w:r>
              <w:rPr>
                <w:b/>
                <w:bCs/>
              </w:rPr>
              <w:t>4</w:t>
            </w:r>
          </w:p>
        </w:tc>
        <w:tc>
          <w:tcPr>
            <w:tcW w:w="7796" w:type="dxa"/>
          </w:tcPr>
          <w:p w14:paraId="3F4FCE91" w14:textId="284B9CE7" w:rsidR="008C28C2" w:rsidRPr="00B95F60" w:rsidRDefault="00D6057B" w:rsidP="008C28C2">
            <w:pPr>
              <w:rPr>
                <w:b/>
                <w:bCs/>
              </w:rPr>
            </w:pPr>
            <w:r>
              <w:rPr>
                <w:b/>
                <w:bCs/>
              </w:rPr>
              <w:t>Requirements for the Contractor</w:t>
            </w:r>
          </w:p>
        </w:tc>
        <w:tc>
          <w:tcPr>
            <w:tcW w:w="1843" w:type="dxa"/>
          </w:tcPr>
          <w:p w14:paraId="73B47500" w14:textId="77777777" w:rsidR="008C28C2" w:rsidRPr="00B95F60" w:rsidRDefault="008C28C2" w:rsidP="008C28C2">
            <w:pPr>
              <w:rPr>
                <w:b/>
                <w:bCs/>
              </w:rPr>
            </w:pPr>
          </w:p>
        </w:tc>
        <w:tc>
          <w:tcPr>
            <w:tcW w:w="2465" w:type="dxa"/>
          </w:tcPr>
          <w:p w14:paraId="6CF98984" w14:textId="77777777" w:rsidR="008C28C2" w:rsidRPr="00B95F60" w:rsidRDefault="008C28C2" w:rsidP="008C28C2">
            <w:pPr>
              <w:rPr>
                <w:b/>
                <w:bCs/>
              </w:rPr>
            </w:pPr>
          </w:p>
        </w:tc>
      </w:tr>
      <w:tr w:rsidR="008C28C2" w:rsidRPr="00B95F60" w14:paraId="4F2BFC6D" w14:textId="77777777" w:rsidTr="00914174">
        <w:tc>
          <w:tcPr>
            <w:tcW w:w="846" w:type="dxa"/>
          </w:tcPr>
          <w:p w14:paraId="77E9E0BF" w14:textId="5B696EE6" w:rsidR="008C28C2" w:rsidRDefault="008C28C2" w:rsidP="008C28C2">
            <w:pPr>
              <w:rPr>
                <w:b/>
                <w:bCs/>
              </w:rPr>
            </w:pPr>
            <w:r>
              <w:rPr>
                <w:b/>
                <w:bCs/>
              </w:rPr>
              <w:t>4.1</w:t>
            </w:r>
          </w:p>
        </w:tc>
        <w:tc>
          <w:tcPr>
            <w:tcW w:w="7796" w:type="dxa"/>
          </w:tcPr>
          <w:p w14:paraId="62600236" w14:textId="4BC6CDD0" w:rsidR="008C28C2" w:rsidRDefault="0015710F" w:rsidP="008C28C2">
            <w:pPr>
              <w:rPr>
                <w:b/>
                <w:bCs/>
              </w:rPr>
            </w:pPr>
            <w:r>
              <w:rPr>
                <w:b/>
                <w:bCs/>
              </w:rPr>
              <w:t>Delivery</w:t>
            </w:r>
          </w:p>
        </w:tc>
        <w:tc>
          <w:tcPr>
            <w:tcW w:w="1843" w:type="dxa"/>
          </w:tcPr>
          <w:p w14:paraId="1841B127" w14:textId="77777777" w:rsidR="008C28C2" w:rsidRPr="00B95F60" w:rsidRDefault="008C28C2" w:rsidP="008C28C2">
            <w:pPr>
              <w:rPr>
                <w:b/>
                <w:bCs/>
              </w:rPr>
            </w:pPr>
          </w:p>
        </w:tc>
        <w:tc>
          <w:tcPr>
            <w:tcW w:w="2465" w:type="dxa"/>
          </w:tcPr>
          <w:p w14:paraId="2B35EF59" w14:textId="77777777" w:rsidR="008C28C2" w:rsidRPr="00B95F60" w:rsidRDefault="008C28C2" w:rsidP="008C28C2">
            <w:pPr>
              <w:rPr>
                <w:b/>
                <w:bCs/>
              </w:rPr>
            </w:pPr>
          </w:p>
        </w:tc>
      </w:tr>
      <w:tr w:rsidR="008C28C2" w:rsidRPr="00B873CC" w14:paraId="0E9B94A7" w14:textId="77777777" w:rsidTr="00914174">
        <w:tc>
          <w:tcPr>
            <w:tcW w:w="846" w:type="dxa"/>
          </w:tcPr>
          <w:p w14:paraId="54780C62" w14:textId="08FFC9D8" w:rsidR="008C28C2" w:rsidRPr="00B873CC" w:rsidRDefault="008C28C2" w:rsidP="008C28C2"/>
        </w:tc>
        <w:tc>
          <w:tcPr>
            <w:tcW w:w="7796" w:type="dxa"/>
          </w:tcPr>
          <w:p w14:paraId="1C7FDBC7" w14:textId="79F65165" w:rsidR="008C28C2" w:rsidRPr="00B873CC" w:rsidRDefault="00BC7AE9" w:rsidP="00BC7AE9">
            <w:r w:rsidRPr="00BC7AE9">
              <w:t>All software licenses shall be delivered electronically to an email address designated by the Commission upon contract award. Delivery shall be considered complete only when all licenses specified in these Terms of Reference are visible and accessible in the Commission specialists’ account of Cohesity’s online licensing portal.</w:t>
            </w:r>
          </w:p>
        </w:tc>
        <w:tc>
          <w:tcPr>
            <w:tcW w:w="1843" w:type="dxa"/>
          </w:tcPr>
          <w:p w14:paraId="701F2267" w14:textId="77777777" w:rsidR="008C28C2" w:rsidRPr="00B873CC" w:rsidRDefault="008C28C2" w:rsidP="008C28C2"/>
        </w:tc>
        <w:tc>
          <w:tcPr>
            <w:tcW w:w="2465" w:type="dxa"/>
          </w:tcPr>
          <w:p w14:paraId="7577C3B3" w14:textId="77777777" w:rsidR="008C28C2" w:rsidRPr="00B873CC" w:rsidRDefault="008C28C2" w:rsidP="008C28C2"/>
        </w:tc>
      </w:tr>
      <w:tr w:rsidR="00BC7AE9" w:rsidRPr="00B95F60" w14:paraId="41390025" w14:textId="77777777" w:rsidTr="009B30BA">
        <w:tc>
          <w:tcPr>
            <w:tcW w:w="846" w:type="dxa"/>
          </w:tcPr>
          <w:p w14:paraId="48F151B3" w14:textId="7440A6F3" w:rsidR="00BC7AE9" w:rsidRDefault="00BC7AE9" w:rsidP="009B30BA">
            <w:pPr>
              <w:rPr>
                <w:b/>
                <w:bCs/>
              </w:rPr>
            </w:pPr>
            <w:r>
              <w:rPr>
                <w:b/>
                <w:bCs/>
              </w:rPr>
              <w:t>4.2</w:t>
            </w:r>
          </w:p>
        </w:tc>
        <w:tc>
          <w:tcPr>
            <w:tcW w:w="7796" w:type="dxa"/>
          </w:tcPr>
          <w:p w14:paraId="6CD8210F" w14:textId="194F2952" w:rsidR="00BC7AE9" w:rsidRDefault="00BC7AE9" w:rsidP="009B30BA">
            <w:pPr>
              <w:rPr>
                <w:b/>
                <w:bCs/>
              </w:rPr>
            </w:pPr>
            <w:r>
              <w:rPr>
                <w:b/>
                <w:bCs/>
              </w:rPr>
              <w:t>Compliance Standards</w:t>
            </w:r>
          </w:p>
        </w:tc>
        <w:tc>
          <w:tcPr>
            <w:tcW w:w="1843" w:type="dxa"/>
          </w:tcPr>
          <w:p w14:paraId="3A791EE8" w14:textId="77777777" w:rsidR="00BC7AE9" w:rsidRPr="00B95F60" w:rsidRDefault="00BC7AE9" w:rsidP="009B30BA">
            <w:pPr>
              <w:rPr>
                <w:b/>
                <w:bCs/>
              </w:rPr>
            </w:pPr>
          </w:p>
        </w:tc>
        <w:tc>
          <w:tcPr>
            <w:tcW w:w="2465" w:type="dxa"/>
          </w:tcPr>
          <w:p w14:paraId="53A377D5" w14:textId="77777777" w:rsidR="00BC7AE9" w:rsidRPr="00B95F60" w:rsidRDefault="00BC7AE9" w:rsidP="009B30BA">
            <w:pPr>
              <w:rPr>
                <w:b/>
                <w:bCs/>
              </w:rPr>
            </w:pPr>
          </w:p>
        </w:tc>
      </w:tr>
      <w:tr w:rsidR="00BC7AE9" w:rsidRPr="00B95F60" w14:paraId="2AB27F4C" w14:textId="77777777" w:rsidTr="00924C77">
        <w:tc>
          <w:tcPr>
            <w:tcW w:w="846" w:type="dxa"/>
          </w:tcPr>
          <w:p w14:paraId="1D369FEF" w14:textId="77777777" w:rsidR="00BC7AE9" w:rsidRDefault="00BC7AE9" w:rsidP="008C28C2">
            <w:pPr>
              <w:rPr>
                <w:b/>
                <w:bCs/>
              </w:rPr>
            </w:pPr>
          </w:p>
        </w:tc>
        <w:tc>
          <w:tcPr>
            <w:tcW w:w="7796" w:type="dxa"/>
          </w:tcPr>
          <w:p w14:paraId="58D6744A" w14:textId="77777777" w:rsidR="007E02C1" w:rsidRPr="007E02C1" w:rsidRDefault="007E02C1" w:rsidP="007E02C1">
            <w:r w:rsidRPr="007E02C1">
              <w:t>The Contractor shall provide confirmation that:</w:t>
            </w:r>
          </w:p>
          <w:p w14:paraId="36382462" w14:textId="77777777" w:rsidR="007E02C1" w:rsidRPr="007E02C1" w:rsidRDefault="007E02C1" w:rsidP="007E02C1">
            <w:r w:rsidRPr="007E02C1">
              <w:t>•</w:t>
            </w:r>
            <w:r w:rsidRPr="007E02C1">
              <w:tab/>
              <w:t>the proposal complies with Cohesity’s licensing policies.</w:t>
            </w:r>
          </w:p>
          <w:p w14:paraId="53A26785" w14:textId="22D893DA" w:rsidR="00BC7AE9" w:rsidRDefault="007E02C1" w:rsidP="007E02C1">
            <w:pPr>
              <w:rPr>
                <w:b/>
                <w:bCs/>
              </w:rPr>
            </w:pPr>
            <w:r w:rsidRPr="007E02C1">
              <w:lastRenderedPageBreak/>
              <w:t>•</w:t>
            </w:r>
            <w:r w:rsidRPr="007E02C1">
              <w:tab/>
              <w:t>all work related to this contract will be conducted without disruption of the Commission’s backup system.</w:t>
            </w:r>
          </w:p>
        </w:tc>
        <w:tc>
          <w:tcPr>
            <w:tcW w:w="1843" w:type="dxa"/>
          </w:tcPr>
          <w:p w14:paraId="186A2F0A" w14:textId="77777777" w:rsidR="00BC7AE9" w:rsidRPr="00B95F60" w:rsidRDefault="00BC7AE9" w:rsidP="008C28C2">
            <w:pPr>
              <w:rPr>
                <w:b/>
                <w:bCs/>
              </w:rPr>
            </w:pPr>
          </w:p>
        </w:tc>
        <w:tc>
          <w:tcPr>
            <w:tcW w:w="2465" w:type="dxa"/>
          </w:tcPr>
          <w:p w14:paraId="3C9B3E51" w14:textId="77777777" w:rsidR="00BC7AE9" w:rsidRPr="00B95F60" w:rsidRDefault="00BC7AE9" w:rsidP="008C28C2">
            <w:pPr>
              <w:rPr>
                <w:b/>
                <w:bCs/>
              </w:rPr>
            </w:pPr>
          </w:p>
        </w:tc>
      </w:tr>
      <w:tr w:rsidR="008C28C2" w:rsidRPr="00B95F60" w14:paraId="785CFBC6" w14:textId="77777777" w:rsidTr="00924C77">
        <w:tc>
          <w:tcPr>
            <w:tcW w:w="846" w:type="dxa"/>
          </w:tcPr>
          <w:p w14:paraId="65915CFF" w14:textId="375C9C47" w:rsidR="008C28C2" w:rsidRPr="00B95F60" w:rsidRDefault="008C28C2" w:rsidP="008C28C2">
            <w:pPr>
              <w:rPr>
                <w:b/>
                <w:bCs/>
              </w:rPr>
            </w:pPr>
            <w:r>
              <w:rPr>
                <w:b/>
                <w:bCs/>
              </w:rPr>
              <w:t>5</w:t>
            </w:r>
          </w:p>
        </w:tc>
        <w:tc>
          <w:tcPr>
            <w:tcW w:w="7796" w:type="dxa"/>
          </w:tcPr>
          <w:p w14:paraId="14A98DC0" w14:textId="29732424" w:rsidR="008C28C2" w:rsidRPr="00B95F60" w:rsidRDefault="000526D3" w:rsidP="008C28C2">
            <w:pPr>
              <w:rPr>
                <w:b/>
                <w:bCs/>
              </w:rPr>
            </w:pPr>
            <w:r>
              <w:rPr>
                <w:b/>
                <w:bCs/>
              </w:rPr>
              <w:t xml:space="preserve">Support and </w:t>
            </w:r>
            <w:r w:rsidR="00C9440A">
              <w:rPr>
                <w:b/>
                <w:bCs/>
              </w:rPr>
              <w:t>Maintenance</w:t>
            </w:r>
          </w:p>
        </w:tc>
        <w:tc>
          <w:tcPr>
            <w:tcW w:w="1843" w:type="dxa"/>
          </w:tcPr>
          <w:p w14:paraId="47AFB825" w14:textId="77777777" w:rsidR="008C28C2" w:rsidRPr="00B95F60" w:rsidRDefault="008C28C2" w:rsidP="008C28C2">
            <w:pPr>
              <w:rPr>
                <w:b/>
                <w:bCs/>
              </w:rPr>
            </w:pPr>
          </w:p>
        </w:tc>
        <w:tc>
          <w:tcPr>
            <w:tcW w:w="2465" w:type="dxa"/>
          </w:tcPr>
          <w:p w14:paraId="3B384287" w14:textId="77777777" w:rsidR="008C28C2" w:rsidRPr="00B95F60" w:rsidRDefault="008C28C2" w:rsidP="008C28C2">
            <w:pPr>
              <w:rPr>
                <w:b/>
                <w:bCs/>
              </w:rPr>
            </w:pPr>
          </w:p>
        </w:tc>
      </w:tr>
      <w:tr w:rsidR="008C28C2" w:rsidRPr="00B873CC" w14:paraId="769E9B55" w14:textId="77777777" w:rsidTr="00914174">
        <w:tc>
          <w:tcPr>
            <w:tcW w:w="846" w:type="dxa"/>
          </w:tcPr>
          <w:p w14:paraId="0A8798A2" w14:textId="66193FB5" w:rsidR="008C28C2" w:rsidRPr="00C6424E" w:rsidRDefault="008C28C2" w:rsidP="008C28C2">
            <w:r>
              <w:t>5.1</w:t>
            </w:r>
          </w:p>
        </w:tc>
        <w:tc>
          <w:tcPr>
            <w:tcW w:w="7796" w:type="dxa"/>
          </w:tcPr>
          <w:p w14:paraId="0EF73FAB" w14:textId="38AB913E" w:rsidR="008C28C2" w:rsidRPr="00B873CC" w:rsidRDefault="007246A3" w:rsidP="008C28C2">
            <w:r w:rsidRPr="007246A3">
              <w:t>The Contractor shall provide a maintenance support plan that meets or exceeds Cohesity’s Premium (24x7) support plan.</w:t>
            </w:r>
          </w:p>
        </w:tc>
        <w:tc>
          <w:tcPr>
            <w:tcW w:w="1843" w:type="dxa"/>
          </w:tcPr>
          <w:p w14:paraId="3E523B2B" w14:textId="77777777" w:rsidR="008C28C2" w:rsidRPr="00B873CC" w:rsidRDefault="008C28C2" w:rsidP="008C28C2"/>
        </w:tc>
        <w:tc>
          <w:tcPr>
            <w:tcW w:w="2465" w:type="dxa"/>
          </w:tcPr>
          <w:p w14:paraId="73B4B55D" w14:textId="77777777" w:rsidR="008C28C2" w:rsidRPr="00B873CC" w:rsidRDefault="008C28C2" w:rsidP="008C28C2"/>
        </w:tc>
      </w:tr>
      <w:tr w:rsidR="008C28C2" w:rsidRPr="00B873CC" w14:paraId="4A58E350" w14:textId="77777777" w:rsidTr="00914174">
        <w:tc>
          <w:tcPr>
            <w:tcW w:w="846" w:type="dxa"/>
          </w:tcPr>
          <w:p w14:paraId="4120F7B4" w14:textId="2DB87F08" w:rsidR="008C28C2" w:rsidRPr="00C6424E" w:rsidRDefault="008C28C2" w:rsidP="008C28C2">
            <w:r>
              <w:t>5.</w:t>
            </w:r>
            <w:r w:rsidR="00B11A91">
              <w:t>2</w:t>
            </w:r>
          </w:p>
        </w:tc>
        <w:tc>
          <w:tcPr>
            <w:tcW w:w="7796" w:type="dxa"/>
          </w:tcPr>
          <w:p w14:paraId="2259379F" w14:textId="5D65E52D" w:rsidR="008C28C2" w:rsidRPr="00B873CC" w:rsidRDefault="008458A9" w:rsidP="008C28C2">
            <w:r w:rsidRPr="008458A9">
              <w:t>The Contractor shall offer a single point of contact (including telephone “hotline” number) for support requests for all offered items. On-site support shall be available 24 hours, seven (7) days a week.</w:t>
            </w:r>
          </w:p>
        </w:tc>
        <w:tc>
          <w:tcPr>
            <w:tcW w:w="1843" w:type="dxa"/>
          </w:tcPr>
          <w:p w14:paraId="53B79DF6" w14:textId="77777777" w:rsidR="008C28C2" w:rsidRPr="00B873CC" w:rsidRDefault="008C28C2" w:rsidP="008C28C2"/>
        </w:tc>
        <w:tc>
          <w:tcPr>
            <w:tcW w:w="2465" w:type="dxa"/>
          </w:tcPr>
          <w:p w14:paraId="4633BFFB" w14:textId="77777777" w:rsidR="008C28C2" w:rsidRPr="00B873CC" w:rsidRDefault="008C28C2" w:rsidP="008C28C2"/>
        </w:tc>
      </w:tr>
      <w:tr w:rsidR="008C28C2" w:rsidRPr="00B873CC" w14:paraId="7E0A30FD" w14:textId="77777777" w:rsidTr="00914174">
        <w:tc>
          <w:tcPr>
            <w:tcW w:w="846" w:type="dxa"/>
          </w:tcPr>
          <w:p w14:paraId="4FC88310" w14:textId="5F157030" w:rsidR="008C28C2" w:rsidRPr="00B873CC" w:rsidRDefault="008C28C2" w:rsidP="008C28C2">
            <w:r>
              <w:t>5.3</w:t>
            </w:r>
          </w:p>
        </w:tc>
        <w:tc>
          <w:tcPr>
            <w:tcW w:w="7796" w:type="dxa"/>
          </w:tcPr>
          <w:p w14:paraId="5A58CF4F" w14:textId="413E4A0A" w:rsidR="008C28C2" w:rsidRPr="00B873CC" w:rsidRDefault="00B84C48" w:rsidP="008C28C2">
            <w:r w:rsidRPr="00B84C48">
              <w:t>The Contractor shall allow the Commission to open cases directly with the manufacturer if it so desires and should provide access to the manufacturer’s support portal for the Commission’s technicians.</w:t>
            </w:r>
          </w:p>
        </w:tc>
        <w:tc>
          <w:tcPr>
            <w:tcW w:w="1843" w:type="dxa"/>
          </w:tcPr>
          <w:p w14:paraId="1C15E304" w14:textId="77777777" w:rsidR="008C28C2" w:rsidRPr="00B873CC" w:rsidRDefault="008C28C2" w:rsidP="008C28C2"/>
        </w:tc>
        <w:tc>
          <w:tcPr>
            <w:tcW w:w="2465" w:type="dxa"/>
          </w:tcPr>
          <w:p w14:paraId="0EB2D7B7" w14:textId="77777777" w:rsidR="008C28C2" w:rsidRPr="00B873CC" w:rsidRDefault="008C28C2" w:rsidP="008C28C2"/>
        </w:tc>
      </w:tr>
      <w:tr w:rsidR="008C28C2" w:rsidRPr="00B873CC" w14:paraId="3AE5BFDD" w14:textId="77777777" w:rsidTr="004C497E">
        <w:trPr>
          <w:trHeight w:val="85"/>
        </w:trPr>
        <w:tc>
          <w:tcPr>
            <w:tcW w:w="846" w:type="dxa"/>
          </w:tcPr>
          <w:p w14:paraId="3CDBDD26" w14:textId="79CDBEB3" w:rsidR="008C28C2" w:rsidRPr="00ED3F0C" w:rsidRDefault="008C28C2" w:rsidP="008C28C2">
            <w:r>
              <w:t>5.4</w:t>
            </w:r>
          </w:p>
        </w:tc>
        <w:tc>
          <w:tcPr>
            <w:tcW w:w="7796" w:type="dxa"/>
          </w:tcPr>
          <w:p w14:paraId="15B42C7C" w14:textId="007B4263" w:rsidR="008C28C2" w:rsidRPr="00B873CC" w:rsidRDefault="006B1249" w:rsidP="006B1249">
            <w:pPr>
              <w:tabs>
                <w:tab w:val="left" w:pos="2210"/>
              </w:tabs>
            </w:pPr>
            <w:r w:rsidRPr="006B1249">
              <w:t>The Contractor shall provide “back-end” support with the respective manufacturer. No third party (e.g. reseller, third party support provider) is allowed in between the Contractor and the manufacturer.</w:t>
            </w:r>
          </w:p>
        </w:tc>
        <w:tc>
          <w:tcPr>
            <w:tcW w:w="1843" w:type="dxa"/>
          </w:tcPr>
          <w:p w14:paraId="3C1B5BFA" w14:textId="77777777" w:rsidR="008C28C2" w:rsidRPr="00B873CC" w:rsidRDefault="008C28C2" w:rsidP="008C28C2"/>
        </w:tc>
        <w:tc>
          <w:tcPr>
            <w:tcW w:w="2465" w:type="dxa"/>
          </w:tcPr>
          <w:p w14:paraId="00A451E0" w14:textId="77777777" w:rsidR="008C28C2" w:rsidRPr="00B873CC" w:rsidRDefault="008C28C2" w:rsidP="008C28C2"/>
        </w:tc>
      </w:tr>
      <w:tr w:rsidR="008C28C2" w:rsidRPr="00B873CC" w14:paraId="45C40ED0" w14:textId="77777777" w:rsidTr="00914174">
        <w:tc>
          <w:tcPr>
            <w:tcW w:w="846" w:type="dxa"/>
          </w:tcPr>
          <w:p w14:paraId="1011C2F4" w14:textId="2981D745" w:rsidR="008C28C2" w:rsidRPr="00B873CC" w:rsidRDefault="008C28C2" w:rsidP="008C28C2">
            <w:r>
              <w:t>5.5</w:t>
            </w:r>
          </w:p>
        </w:tc>
        <w:tc>
          <w:tcPr>
            <w:tcW w:w="7796" w:type="dxa"/>
          </w:tcPr>
          <w:p w14:paraId="1470D486" w14:textId="0DAB325F" w:rsidR="008C28C2" w:rsidRPr="00B873CC" w:rsidRDefault="006A1DA9" w:rsidP="008C28C2">
            <w:r w:rsidRPr="006A1DA9">
              <w:t>The Contractor shall provide English-speaking technical support staff and technicians.</w:t>
            </w:r>
          </w:p>
        </w:tc>
        <w:tc>
          <w:tcPr>
            <w:tcW w:w="1843" w:type="dxa"/>
          </w:tcPr>
          <w:p w14:paraId="4795CFE7" w14:textId="77777777" w:rsidR="008C28C2" w:rsidRPr="00B873CC" w:rsidRDefault="008C28C2" w:rsidP="008C28C2"/>
        </w:tc>
        <w:tc>
          <w:tcPr>
            <w:tcW w:w="2465" w:type="dxa"/>
          </w:tcPr>
          <w:p w14:paraId="5955A5BC" w14:textId="77777777" w:rsidR="008C28C2" w:rsidRPr="00B873CC" w:rsidRDefault="008C28C2" w:rsidP="008C28C2"/>
        </w:tc>
      </w:tr>
      <w:tr w:rsidR="008C28C2" w:rsidRPr="00B95F60" w14:paraId="6A2934DD" w14:textId="77777777" w:rsidTr="00914174">
        <w:tc>
          <w:tcPr>
            <w:tcW w:w="846" w:type="dxa"/>
          </w:tcPr>
          <w:p w14:paraId="3631E5CF" w14:textId="25C2F98B" w:rsidR="008C28C2" w:rsidRPr="00B95F60" w:rsidRDefault="008C28C2" w:rsidP="008C28C2">
            <w:pPr>
              <w:rPr>
                <w:b/>
                <w:bCs/>
              </w:rPr>
            </w:pPr>
            <w:r>
              <w:rPr>
                <w:b/>
                <w:bCs/>
              </w:rPr>
              <w:t>7</w:t>
            </w:r>
          </w:p>
        </w:tc>
        <w:tc>
          <w:tcPr>
            <w:tcW w:w="7796" w:type="dxa"/>
          </w:tcPr>
          <w:p w14:paraId="334A01A7" w14:textId="35B0C556" w:rsidR="008C28C2" w:rsidRPr="00B95F60" w:rsidRDefault="00DD10CA" w:rsidP="008C28C2">
            <w:pPr>
              <w:rPr>
                <w:b/>
                <w:bCs/>
              </w:rPr>
            </w:pPr>
            <w:r>
              <w:rPr>
                <w:b/>
                <w:bCs/>
              </w:rPr>
              <w:t>Risk Management</w:t>
            </w:r>
          </w:p>
        </w:tc>
        <w:tc>
          <w:tcPr>
            <w:tcW w:w="1843" w:type="dxa"/>
          </w:tcPr>
          <w:p w14:paraId="392E3A23" w14:textId="77777777" w:rsidR="008C28C2" w:rsidRPr="00B95F60" w:rsidRDefault="008C28C2" w:rsidP="008C28C2">
            <w:pPr>
              <w:rPr>
                <w:b/>
                <w:bCs/>
              </w:rPr>
            </w:pPr>
          </w:p>
        </w:tc>
        <w:tc>
          <w:tcPr>
            <w:tcW w:w="2465" w:type="dxa"/>
          </w:tcPr>
          <w:p w14:paraId="3D791BB8" w14:textId="77777777" w:rsidR="008C28C2" w:rsidRPr="00B95F60" w:rsidRDefault="008C28C2" w:rsidP="008C28C2">
            <w:pPr>
              <w:rPr>
                <w:b/>
                <w:bCs/>
              </w:rPr>
            </w:pPr>
          </w:p>
        </w:tc>
      </w:tr>
      <w:tr w:rsidR="008C28C2" w:rsidRPr="00B95F60" w14:paraId="432B8F8D" w14:textId="77777777" w:rsidTr="00914174">
        <w:tc>
          <w:tcPr>
            <w:tcW w:w="846" w:type="dxa"/>
          </w:tcPr>
          <w:p w14:paraId="775295BA" w14:textId="15A140B3" w:rsidR="008C28C2" w:rsidRPr="00A76F04" w:rsidRDefault="008C28C2" w:rsidP="008C28C2">
            <w:r w:rsidRPr="00A76F04">
              <w:t>7.1</w:t>
            </w:r>
          </w:p>
        </w:tc>
        <w:tc>
          <w:tcPr>
            <w:tcW w:w="7796" w:type="dxa"/>
          </w:tcPr>
          <w:p w14:paraId="36470220" w14:textId="172F5E2A" w:rsidR="008C28C2" w:rsidRPr="00380198" w:rsidRDefault="006F2CBF" w:rsidP="008C28C2">
            <w:r w:rsidRPr="006F2CBF">
              <w:t>The Contractor shall provide an updated thorough risk assessment plan at the commencement of the Contract to identify potential risks that could impact the successful execution of the implementation activities outlined in this Terms of Reference.</w:t>
            </w:r>
          </w:p>
        </w:tc>
        <w:tc>
          <w:tcPr>
            <w:tcW w:w="1843" w:type="dxa"/>
          </w:tcPr>
          <w:p w14:paraId="5D295246" w14:textId="77777777" w:rsidR="008C28C2" w:rsidRPr="00B95F60" w:rsidRDefault="008C28C2" w:rsidP="008C28C2">
            <w:pPr>
              <w:rPr>
                <w:b/>
                <w:bCs/>
              </w:rPr>
            </w:pPr>
          </w:p>
        </w:tc>
        <w:tc>
          <w:tcPr>
            <w:tcW w:w="2465" w:type="dxa"/>
          </w:tcPr>
          <w:p w14:paraId="154640AB" w14:textId="77777777" w:rsidR="008C28C2" w:rsidRPr="00B95F60" w:rsidRDefault="008C28C2" w:rsidP="008C28C2">
            <w:pPr>
              <w:rPr>
                <w:b/>
                <w:bCs/>
              </w:rPr>
            </w:pPr>
          </w:p>
        </w:tc>
      </w:tr>
    </w:tbl>
    <w:p w14:paraId="3C25BE15" w14:textId="77777777" w:rsidR="003E2EFA" w:rsidRDefault="003E2EFA" w:rsidP="00CF3B4B"/>
    <w:sectPr w:rsidR="003E2EFA" w:rsidSect="00D57441">
      <w:pgSz w:w="15840" w:h="12240" w:orient="landscape"/>
      <w:pgMar w:top="1440" w:right="1440" w:bottom="118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06E3" w14:textId="77777777" w:rsidR="00EF5B17" w:rsidRDefault="00EF5B17" w:rsidP="007E6F97">
      <w:pPr>
        <w:spacing w:after="0" w:line="240" w:lineRule="auto"/>
      </w:pPr>
      <w:r>
        <w:separator/>
      </w:r>
    </w:p>
  </w:endnote>
  <w:endnote w:type="continuationSeparator" w:id="0">
    <w:p w14:paraId="4C5CE963" w14:textId="77777777" w:rsidR="00EF5B17" w:rsidRDefault="00EF5B17" w:rsidP="007E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9212" w14:textId="77777777" w:rsidR="00EF5B17" w:rsidRDefault="00EF5B17" w:rsidP="007E6F97">
      <w:pPr>
        <w:spacing w:after="0" w:line="240" w:lineRule="auto"/>
      </w:pPr>
      <w:r>
        <w:separator/>
      </w:r>
    </w:p>
  </w:footnote>
  <w:footnote w:type="continuationSeparator" w:id="0">
    <w:p w14:paraId="58F7755C" w14:textId="77777777" w:rsidR="00EF5B17" w:rsidRDefault="00EF5B17" w:rsidP="007E6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364F92C"/>
    <w:lvl w:ilvl="0">
      <w:start w:val="1"/>
      <w:numFmt w:val="decimal"/>
      <w:lvlText w:val=" %1."/>
      <w:lvlJc w:val="left"/>
      <w:pPr>
        <w:tabs>
          <w:tab w:val="num" w:pos="476"/>
        </w:tabs>
        <w:ind w:left="476" w:hanging="476"/>
      </w:pPr>
      <w:rPr>
        <w:b/>
        <w:bCs/>
      </w:rPr>
    </w:lvl>
    <w:lvl w:ilvl="1">
      <w:start w:val="1"/>
      <w:numFmt w:val="decimal"/>
      <w:lvlText w:val=" %1.%2 "/>
      <w:lvlJc w:val="left"/>
      <w:pPr>
        <w:tabs>
          <w:tab w:val="num" w:pos="476"/>
        </w:tabs>
        <w:ind w:left="476" w:hanging="476"/>
      </w:pPr>
    </w:lvl>
    <w:lvl w:ilvl="2">
      <w:start w:val="1"/>
      <w:numFmt w:val="decimal"/>
      <w:lvlText w:val=" %1.%2.%3 "/>
      <w:lvlJc w:val="left"/>
      <w:pPr>
        <w:tabs>
          <w:tab w:val="num" w:pos="476"/>
        </w:tabs>
        <w:ind w:left="476" w:hanging="476"/>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C10E43"/>
    <w:multiLevelType w:val="hybridMultilevel"/>
    <w:tmpl w:val="8F844B0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4EC0107"/>
    <w:multiLevelType w:val="hybridMultilevel"/>
    <w:tmpl w:val="3E88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9679B"/>
    <w:multiLevelType w:val="hybridMultilevel"/>
    <w:tmpl w:val="D842D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35F55"/>
    <w:multiLevelType w:val="hybridMultilevel"/>
    <w:tmpl w:val="EFD67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47A44"/>
    <w:multiLevelType w:val="hybridMultilevel"/>
    <w:tmpl w:val="CF7A0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9068D"/>
    <w:multiLevelType w:val="multilevel"/>
    <w:tmpl w:val="42C88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B449E"/>
    <w:multiLevelType w:val="hybridMultilevel"/>
    <w:tmpl w:val="68F277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D07BA"/>
    <w:multiLevelType w:val="hybridMultilevel"/>
    <w:tmpl w:val="2032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24D2D"/>
    <w:multiLevelType w:val="multilevel"/>
    <w:tmpl w:val="42C88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F20559"/>
    <w:multiLevelType w:val="hybridMultilevel"/>
    <w:tmpl w:val="8DA8D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E3DE3"/>
    <w:multiLevelType w:val="hybridMultilevel"/>
    <w:tmpl w:val="DAFA64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86AF0"/>
    <w:multiLevelType w:val="hybridMultilevel"/>
    <w:tmpl w:val="823C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9DA"/>
    <w:multiLevelType w:val="hybridMultilevel"/>
    <w:tmpl w:val="5C84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D7D7C"/>
    <w:multiLevelType w:val="hybridMultilevel"/>
    <w:tmpl w:val="A7D0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45969"/>
    <w:multiLevelType w:val="hybridMultilevel"/>
    <w:tmpl w:val="C438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A4E13"/>
    <w:multiLevelType w:val="hybridMultilevel"/>
    <w:tmpl w:val="DAEE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C6427"/>
    <w:multiLevelType w:val="hybridMultilevel"/>
    <w:tmpl w:val="01EE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E32C3"/>
    <w:multiLevelType w:val="hybridMultilevel"/>
    <w:tmpl w:val="615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009DA"/>
    <w:multiLevelType w:val="hybridMultilevel"/>
    <w:tmpl w:val="3B2C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47EB3"/>
    <w:multiLevelType w:val="hybridMultilevel"/>
    <w:tmpl w:val="E72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A7536"/>
    <w:multiLevelType w:val="hybridMultilevel"/>
    <w:tmpl w:val="C5FE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5043C"/>
    <w:multiLevelType w:val="hybridMultilevel"/>
    <w:tmpl w:val="1E5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A2497"/>
    <w:multiLevelType w:val="hybridMultilevel"/>
    <w:tmpl w:val="F278A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5309E"/>
    <w:multiLevelType w:val="hybridMultilevel"/>
    <w:tmpl w:val="0A9A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16A66"/>
    <w:multiLevelType w:val="hybridMultilevel"/>
    <w:tmpl w:val="35A8ED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550AF"/>
    <w:multiLevelType w:val="hybridMultilevel"/>
    <w:tmpl w:val="FF1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91886"/>
    <w:multiLevelType w:val="hybridMultilevel"/>
    <w:tmpl w:val="FDE0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30229"/>
    <w:multiLevelType w:val="hybridMultilevel"/>
    <w:tmpl w:val="0A1A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04B5E"/>
    <w:multiLevelType w:val="hybridMultilevel"/>
    <w:tmpl w:val="59C8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98870">
    <w:abstractNumId w:val="0"/>
  </w:num>
  <w:num w:numId="2" w16cid:durableId="2029670696">
    <w:abstractNumId w:val="6"/>
  </w:num>
  <w:num w:numId="3" w16cid:durableId="506750131">
    <w:abstractNumId w:val="25"/>
  </w:num>
  <w:num w:numId="4" w16cid:durableId="246154000">
    <w:abstractNumId w:val="9"/>
  </w:num>
  <w:num w:numId="5" w16cid:durableId="117258642">
    <w:abstractNumId w:val="16"/>
  </w:num>
  <w:num w:numId="6" w16cid:durableId="1404259562">
    <w:abstractNumId w:val="1"/>
  </w:num>
  <w:num w:numId="7" w16cid:durableId="347028886">
    <w:abstractNumId w:val="26"/>
  </w:num>
  <w:num w:numId="8" w16cid:durableId="1335108558">
    <w:abstractNumId w:val="15"/>
  </w:num>
  <w:num w:numId="9" w16cid:durableId="2124573792">
    <w:abstractNumId w:val="21"/>
  </w:num>
  <w:num w:numId="10" w16cid:durableId="84033749">
    <w:abstractNumId w:val="27"/>
  </w:num>
  <w:num w:numId="11" w16cid:durableId="393284603">
    <w:abstractNumId w:val="19"/>
  </w:num>
  <w:num w:numId="12" w16cid:durableId="1043675370">
    <w:abstractNumId w:val="8"/>
  </w:num>
  <w:num w:numId="13" w16cid:durableId="89474848">
    <w:abstractNumId w:val="20"/>
  </w:num>
  <w:num w:numId="14" w16cid:durableId="1127048268">
    <w:abstractNumId w:val="2"/>
  </w:num>
  <w:num w:numId="15" w16cid:durableId="639312983">
    <w:abstractNumId w:val="18"/>
  </w:num>
  <w:num w:numId="16" w16cid:durableId="1147164642">
    <w:abstractNumId w:val="10"/>
  </w:num>
  <w:num w:numId="17" w16cid:durableId="290551423">
    <w:abstractNumId w:val="11"/>
  </w:num>
  <w:num w:numId="18" w16cid:durableId="354774667">
    <w:abstractNumId w:val="7"/>
  </w:num>
  <w:num w:numId="19" w16cid:durableId="893152022">
    <w:abstractNumId w:val="4"/>
  </w:num>
  <w:num w:numId="20" w16cid:durableId="1047291276">
    <w:abstractNumId w:val="5"/>
  </w:num>
  <w:num w:numId="21" w16cid:durableId="1892769073">
    <w:abstractNumId w:val="28"/>
  </w:num>
  <w:num w:numId="22" w16cid:durableId="394789769">
    <w:abstractNumId w:val="17"/>
  </w:num>
  <w:num w:numId="23" w16cid:durableId="518474272">
    <w:abstractNumId w:val="29"/>
  </w:num>
  <w:num w:numId="24" w16cid:durableId="497965578">
    <w:abstractNumId w:val="22"/>
  </w:num>
  <w:num w:numId="25" w16cid:durableId="1006323888">
    <w:abstractNumId w:val="14"/>
  </w:num>
  <w:num w:numId="26" w16cid:durableId="1685549846">
    <w:abstractNumId w:val="24"/>
  </w:num>
  <w:num w:numId="27" w16cid:durableId="497160757">
    <w:abstractNumId w:val="12"/>
  </w:num>
  <w:num w:numId="28" w16cid:durableId="140386577">
    <w:abstractNumId w:val="13"/>
  </w:num>
  <w:num w:numId="29" w16cid:durableId="1000549552">
    <w:abstractNumId w:val="3"/>
  </w:num>
  <w:num w:numId="30" w16cid:durableId="4478922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A"/>
    <w:rsid w:val="000165FC"/>
    <w:rsid w:val="00023EA4"/>
    <w:rsid w:val="00042FB9"/>
    <w:rsid w:val="000526D3"/>
    <w:rsid w:val="00053367"/>
    <w:rsid w:val="00073095"/>
    <w:rsid w:val="0008243E"/>
    <w:rsid w:val="0008638E"/>
    <w:rsid w:val="00092CC3"/>
    <w:rsid w:val="000C115E"/>
    <w:rsid w:val="000C306C"/>
    <w:rsid w:val="000D32D1"/>
    <w:rsid w:val="000E3E48"/>
    <w:rsid w:val="00114B73"/>
    <w:rsid w:val="001226D2"/>
    <w:rsid w:val="001261EA"/>
    <w:rsid w:val="00152DA6"/>
    <w:rsid w:val="0015710F"/>
    <w:rsid w:val="00162E5D"/>
    <w:rsid w:val="001642E8"/>
    <w:rsid w:val="0016699F"/>
    <w:rsid w:val="00175E0B"/>
    <w:rsid w:val="001A1C91"/>
    <w:rsid w:val="001B7393"/>
    <w:rsid w:val="001D1C36"/>
    <w:rsid w:val="001E69DF"/>
    <w:rsid w:val="001F7425"/>
    <w:rsid w:val="002015D3"/>
    <w:rsid w:val="00261F0C"/>
    <w:rsid w:val="00273106"/>
    <w:rsid w:val="00277678"/>
    <w:rsid w:val="002C1438"/>
    <w:rsid w:val="002E436C"/>
    <w:rsid w:val="002E5BBB"/>
    <w:rsid w:val="002F6719"/>
    <w:rsid w:val="0030256E"/>
    <w:rsid w:val="00305732"/>
    <w:rsid w:val="0033227D"/>
    <w:rsid w:val="00333A35"/>
    <w:rsid w:val="003350E2"/>
    <w:rsid w:val="00341901"/>
    <w:rsid w:val="00344097"/>
    <w:rsid w:val="00347E8A"/>
    <w:rsid w:val="00371A9E"/>
    <w:rsid w:val="00380198"/>
    <w:rsid w:val="00381B79"/>
    <w:rsid w:val="00395701"/>
    <w:rsid w:val="003A03FF"/>
    <w:rsid w:val="003D5505"/>
    <w:rsid w:val="003E10F6"/>
    <w:rsid w:val="003E2EFA"/>
    <w:rsid w:val="003F099C"/>
    <w:rsid w:val="003F2A48"/>
    <w:rsid w:val="004118C7"/>
    <w:rsid w:val="00414A1E"/>
    <w:rsid w:val="00422BD1"/>
    <w:rsid w:val="00430E90"/>
    <w:rsid w:val="00446F47"/>
    <w:rsid w:val="004B699B"/>
    <w:rsid w:val="004C497E"/>
    <w:rsid w:val="004D6CE7"/>
    <w:rsid w:val="004F41DA"/>
    <w:rsid w:val="00512AE4"/>
    <w:rsid w:val="00557706"/>
    <w:rsid w:val="00590BDC"/>
    <w:rsid w:val="005A03F5"/>
    <w:rsid w:val="005A5B10"/>
    <w:rsid w:val="005B2682"/>
    <w:rsid w:val="005B4B35"/>
    <w:rsid w:val="005D07F1"/>
    <w:rsid w:val="006055C1"/>
    <w:rsid w:val="0061480A"/>
    <w:rsid w:val="00617AED"/>
    <w:rsid w:val="0064069B"/>
    <w:rsid w:val="00652EB8"/>
    <w:rsid w:val="0066118F"/>
    <w:rsid w:val="00661DE9"/>
    <w:rsid w:val="00666120"/>
    <w:rsid w:val="00682270"/>
    <w:rsid w:val="0068389C"/>
    <w:rsid w:val="006A1DA9"/>
    <w:rsid w:val="006B1249"/>
    <w:rsid w:val="006B58AC"/>
    <w:rsid w:val="006D6C76"/>
    <w:rsid w:val="006F2CBF"/>
    <w:rsid w:val="006F567B"/>
    <w:rsid w:val="007246A3"/>
    <w:rsid w:val="007368C6"/>
    <w:rsid w:val="00744F0C"/>
    <w:rsid w:val="00747CEA"/>
    <w:rsid w:val="00774282"/>
    <w:rsid w:val="00780B20"/>
    <w:rsid w:val="00795C77"/>
    <w:rsid w:val="007B4A1A"/>
    <w:rsid w:val="007B6E94"/>
    <w:rsid w:val="007D007E"/>
    <w:rsid w:val="007D203C"/>
    <w:rsid w:val="007E02C1"/>
    <w:rsid w:val="007E6F97"/>
    <w:rsid w:val="00806709"/>
    <w:rsid w:val="0081055F"/>
    <w:rsid w:val="008120DB"/>
    <w:rsid w:val="0081295C"/>
    <w:rsid w:val="00815CB4"/>
    <w:rsid w:val="0082028B"/>
    <w:rsid w:val="00821A63"/>
    <w:rsid w:val="00843346"/>
    <w:rsid w:val="008458A9"/>
    <w:rsid w:val="008531D1"/>
    <w:rsid w:val="00857227"/>
    <w:rsid w:val="00865A7F"/>
    <w:rsid w:val="00876BA6"/>
    <w:rsid w:val="0088001C"/>
    <w:rsid w:val="00895E60"/>
    <w:rsid w:val="008A319F"/>
    <w:rsid w:val="008B185E"/>
    <w:rsid w:val="008C28C2"/>
    <w:rsid w:val="008D00D1"/>
    <w:rsid w:val="008E5119"/>
    <w:rsid w:val="00914174"/>
    <w:rsid w:val="009173D3"/>
    <w:rsid w:val="00940F56"/>
    <w:rsid w:val="0096056E"/>
    <w:rsid w:val="009623FE"/>
    <w:rsid w:val="00976890"/>
    <w:rsid w:val="0098527E"/>
    <w:rsid w:val="00991EFB"/>
    <w:rsid w:val="00992F8F"/>
    <w:rsid w:val="009961C7"/>
    <w:rsid w:val="009A7F0B"/>
    <w:rsid w:val="009C473C"/>
    <w:rsid w:val="009C53E8"/>
    <w:rsid w:val="009E79FB"/>
    <w:rsid w:val="009F3A8D"/>
    <w:rsid w:val="00A23562"/>
    <w:rsid w:val="00A4231C"/>
    <w:rsid w:val="00A511C1"/>
    <w:rsid w:val="00A60DE4"/>
    <w:rsid w:val="00A6286D"/>
    <w:rsid w:val="00A76F04"/>
    <w:rsid w:val="00A871F0"/>
    <w:rsid w:val="00A91264"/>
    <w:rsid w:val="00AA0C86"/>
    <w:rsid w:val="00AA26A7"/>
    <w:rsid w:val="00AB15B6"/>
    <w:rsid w:val="00AD4BDA"/>
    <w:rsid w:val="00AD6E7E"/>
    <w:rsid w:val="00AE0A51"/>
    <w:rsid w:val="00AF7E2F"/>
    <w:rsid w:val="00B01171"/>
    <w:rsid w:val="00B05DBD"/>
    <w:rsid w:val="00B11A91"/>
    <w:rsid w:val="00B1298D"/>
    <w:rsid w:val="00B22C33"/>
    <w:rsid w:val="00B35286"/>
    <w:rsid w:val="00B66F08"/>
    <w:rsid w:val="00B67BAE"/>
    <w:rsid w:val="00B70A0B"/>
    <w:rsid w:val="00B7222E"/>
    <w:rsid w:val="00B84C48"/>
    <w:rsid w:val="00BA78FD"/>
    <w:rsid w:val="00BB2A07"/>
    <w:rsid w:val="00BC66C6"/>
    <w:rsid w:val="00BC7AE9"/>
    <w:rsid w:val="00BD38B2"/>
    <w:rsid w:val="00BE1672"/>
    <w:rsid w:val="00BF6F2C"/>
    <w:rsid w:val="00BF6FD6"/>
    <w:rsid w:val="00C1348B"/>
    <w:rsid w:val="00C17782"/>
    <w:rsid w:val="00C6424E"/>
    <w:rsid w:val="00C90F21"/>
    <w:rsid w:val="00C9440A"/>
    <w:rsid w:val="00CD431E"/>
    <w:rsid w:val="00CE4B02"/>
    <w:rsid w:val="00CF152D"/>
    <w:rsid w:val="00CF3B4B"/>
    <w:rsid w:val="00D2179F"/>
    <w:rsid w:val="00D21FE8"/>
    <w:rsid w:val="00D300B2"/>
    <w:rsid w:val="00D53E1C"/>
    <w:rsid w:val="00D57441"/>
    <w:rsid w:val="00D6057B"/>
    <w:rsid w:val="00D70BA9"/>
    <w:rsid w:val="00D72542"/>
    <w:rsid w:val="00D74DE9"/>
    <w:rsid w:val="00D856D5"/>
    <w:rsid w:val="00D93282"/>
    <w:rsid w:val="00D956E6"/>
    <w:rsid w:val="00DA20AC"/>
    <w:rsid w:val="00DB2037"/>
    <w:rsid w:val="00DB5C56"/>
    <w:rsid w:val="00DD10CA"/>
    <w:rsid w:val="00DF7725"/>
    <w:rsid w:val="00E153E3"/>
    <w:rsid w:val="00E169EC"/>
    <w:rsid w:val="00E361E5"/>
    <w:rsid w:val="00E43487"/>
    <w:rsid w:val="00E5163E"/>
    <w:rsid w:val="00E53BE2"/>
    <w:rsid w:val="00E7260A"/>
    <w:rsid w:val="00E73707"/>
    <w:rsid w:val="00E954F4"/>
    <w:rsid w:val="00ED25CF"/>
    <w:rsid w:val="00ED3F0C"/>
    <w:rsid w:val="00EF5B17"/>
    <w:rsid w:val="00EF5EA8"/>
    <w:rsid w:val="00F12701"/>
    <w:rsid w:val="00F34DBE"/>
    <w:rsid w:val="00F41318"/>
    <w:rsid w:val="00F80032"/>
    <w:rsid w:val="00F82A41"/>
    <w:rsid w:val="00F94E29"/>
    <w:rsid w:val="00FA44CA"/>
    <w:rsid w:val="00FC0889"/>
    <w:rsid w:val="00FC2B92"/>
    <w:rsid w:val="00FD41A3"/>
    <w:rsid w:val="00FE1F69"/>
    <w:rsid w:val="00FE2165"/>
    <w:rsid w:val="00FE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8E60"/>
  <w15:chartTrackingRefBased/>
  <w15:docId w15:val="{149FFCCB-0AB3-4C1E-A03B-D12BF04D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EFA"/>
    <w:rPr>
      <w:rFonts w:eastAsiaTheme="majorEastAsia" w:cstheme="majorBidi"/>
      <w:color w:val="272727" w:themeColor="text1" w:themeTint="D8"/>
    </w:rPr>
  </w:style>
  <w:style w:type="paragraph" w:styleId="Title">
    <w:name w:val="Title"/>
    <w:basedOn w:val="Normal"/>
    <w:next w:val="Normal"/>
    <w:link w:val="TitleChar"/>
    <w:uiPriority w:val="10"/>
    <w:qFormat/>
    <w:rsid w:val="003E2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EFA"/>
    <w:pPr>
      <w:spacing w:before="160"/>
      <w:jc w:val="center"/>
    </w:pPr>
    <w:rPr>
      <w:i/>
      <w:iCs/>
      <w:color w:val="404040" w:themeColor="text1" w:themeTint="BF"/>
    </w:rPr>
  </w:style>
  <w:style w:type="character" w:customStyle="1" w:styleId="QuoteChar">
    <w:name w:val="Quote Char"/>
    <w:basedOn w:val="DefaultParagraphFont"/>
    <w:link w:val="Quote"/>
    <w:uiPriority w:val="29"/>
    <w:rsid w:val="003E2EFA"/>
    <w:rPr>
      <w:i/>
      <w:iCs/>
      <w:color w:val="404040" w:themeColor="text1" w:themeTint="BF"/>
    </w:rPr>
  </w:style>
  <w:style w:type="paragraph" w:styleId="ListParagraph">
    <w:name w:val="List Paragraph"/>
    <w:basedOn w:val="Normal"/>
    <w:uiPriority w:val="34"/>
    <w:qFormat/>
    <w:rsid w:val="003E2EFA"/>
    <w:pPr>
      <w:ind w:left="720"/>
      <w:contextualSpacing/>
    </w:pPr>
  </w:style>
  <w:style w:type="character" w:styleId="IntenseEmphasis">
    <w:name w:val="Intense Emphasis"/>
    <w:basedOn w:val="DefaultParagraphFont"/>
    <w:uiPriority w:val="21"/>
    <w:qFormat/>
    <w:rsid w:val="003E2EFA"/>
    <w:rPr>
      <w:i/>
      <w:iCs/>
      <w:color w:val="0F4761" w:themeColor="accent1" w:themeShade="BF"/>
    </w:rPr>
  </w:style>
  <w:style w:type="paragraph" w:styleId="IntenseQuote">
    <w:name w:val="Intense Quote"/>
    <w:basedOn w:val="Normal"/>
    <w:next w:val="Normal"/>
    <w:link w:val="IntenseQuoteChar"/>
    <w:uiPriority w:val="30"/>
    <w:qFormat/>
    <w:rsid w:val="003E2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EFA"/>
    <w:rPr>
      <w:i/>
      <w:iCs/>
      <w:color w:val="0F4761" w:themeColor="accent1" w:themeShade="BF"/>
    </w:rPr>
  </w:style>
  <w:style w:type="character" w:styleId="IntenseReference">
    <w:name w:val="Intense Reference"/>
    <w:basedOn w:val="DefaultParagraphFont"/>
    <w:uiPriority w:val="32"/>
    <w:qFormat/>
    <w:rsid w:val="003E2EFA"/>
    <w:rPr>
      <w:b/>
      <w:bCs/>
      <w:smallCaps/>
      <w:color w:val="0F4761" w:themeColor="accent1" w:themeShade="BF"/>
      <w:spacing w:val="5"/>
    </w:rPr>
  </w:style>
  <w:style w:type="paragraph" w:styleId="Caption">
    <w:name w:val="caption"/>
    <w:basedOn w:val="Normal"/>
    <w:next w:val="Normal"/>
    <w:unhideWhenUsed/>
    <w:qFormat/>
    <w:rsid w:val="00B67BAE"/>
    <w:pPr>
      <w:spacing w:after="200" w:line="240" w:lineRule="auto"/>
    </w:pPr>
    <w:rPr>
      <w:rFonts w:eastAsiaTheme="minorEastAsia"/>
      <w:b/>
      <w:bCs/>
      <w:color w:val="156082" w:themeColor="accent1"/>
      <w:kern w:val="0"/>
      <w:sz w:val="18"/>
      <w:szCs w:val="18"/>
      <w14:ligatures w14:val="none"/>
    </w:rPr>
  </w:style>
  <w:style w:type="character" w:customStyle="1" w:styleId="normaltextrun">
    <w:name w:val="normaltextrun"/>
    <w:basedOn w:val="DefaultParagraphFont"/>
    <w:rsid w:val="00B67BAE"/>
  </w:style>
  <w:style w:type="character" w:customStyle="1" w:styleId="eop">
    <w:name w:val="eop"/>
    <w:basedOn w:val="DefaultParagraphFont"/>
    <w:rsid w:val="00D57441"/>
  </w:style>
  <w:style w:type="paragraph" w:customStyle="1" w:styleId="TableContents">
    <w:name w:val="Table Contents"/>
    <w:basedOn w:val="Normal"/>
    <w:rsid w:val="00D57441"/>
    <w:pPr>
      <w:suppressLineNumbers/>
      <w:suppressAutoHyphens/>
      <w:spacing w:after="283" w:line="240" w:lineRule="auto"/>
    </w:pPr>
    <w:rPr>
      <w:rFonts w:ascii="Times New Roman" w:eastAsia="Times New Roman" w:hAnsi="Times New Roman" w:cs="Times New Roman"/>
      <w:kern w:val="0"/>
      <w:sz w:val="24"/>
      <w:szCs w:val="20"/>
      <w:lang w:eastAsia="ar-SA"/>
      <w14:ligatures w14:val="none"/>
    </w:rPr>
  </w:style>
  <w:style w:type="paragraph" w:customStyle="1" w:styleId="TableHeading">
    <w:name w:val="Table Heading"/>
    <w:basedOn w:val="TableContents"/>
    <w:rsid w:val="00D57441"/>
    <w:pPr>
      <w:jc w:val="center"/>
    </w:pPr>
    <w:rPr>
      <w:b/>
      <w:bCs/>
    </w:rPr>
  </w:style>
  <w:style w:type="paragraph" w:customStyle="1" w:styleId="Body-Style">
    <w:name w:val="Body-Style"/>
    <w:basedOn w:val="BodyText"/>
    <w:link w:val="Body-StyleChar"/>
    <w:qFormat/>
    <w:rsid w:val="00AA26A7"/>
    <w:pPr>
      <w:pBdr>
        <w:top w:val="nil"/>
        <w:left w:val="nil"/>
        <w:bottom w:val="nil"/>
        <w:right w:val="nil"/>
        <w:between w:val="nil"/>
        <w:bar w:val="nil"/>
      </w:pBdr>
      <w:tabs>
        <w:tab w:val="left" w:pos="707"/>
        <w:tab w:val="left" w:pos="851"/>
      </w:tabs>
      <w:spacing w:line="276" w:lineRule="auto"/>
      <w:jc w:val="both"/>
    </w:pPr>
    <w:rPr>
      <w:rFonts w:ascii="Calibri" w:eastAsia="Arial Unicode MS" w:hAnsi="Calibri" w:cs="Calibri"/>
      <w:color w:val="000000"/>
      <w:kern w:val="0"/>
      <w:szCs w:val="20"/>
      <w:u w:color="000000"/>
      <w:bdr w:val="nil"/>
      <w14:ligatures w14:val="none"/>
    </w:rPr>
  </w:style>
  <w:style w:type="character" w:customStyle="1" w:styleId="Body-StyleChar">
    <w:name w:val="Body-Style Char"/>
    <w:basedOn w:val="BodyTextChar"/>
    <w:link w:val="Body-Style"/>
    <w:qFormat/>
    <w:rsid w:val="00AA26A7"/>
    <w:rPr>
      <w:rFonts w:ascii="Calibri" w:eastAsia="Arial Unicode MS" w:hAnsi="Calibri" w:cs="Calibri"/>
      <w:color w:val="000000"/>
      <w:kern w:val="0"/>
      <w:szCs w:val="20"/>
      <w:u w:color="000000"/>
      <w:bdr w:val="nil"/>
      <w14:ligatures w14:val="none"/>
    </w:rPr>
  </w:style>
  <w:style w:type="character" w:styleId="CommentReference">
    <w:name w:val="annotation reference"/>
    <w:basedOn w:val="DefaultParagraphFont"/>
    <w:uiPriority w:val="99"/>
    <w:semiHidden/>
    <w:unhideWhenUsed/>
    <w:rsid w:val="00AA26A7"/>
    <w:rPr>
      <w:sz w:val="16"/>
      <w:szCs w:val="16"/>
    </w:rPr>
  </w:style>
  <w:style w:type="paragraph" w:styleId="CommentText">
    <w:name w:val="annotation text"/>
    <w:basedOn w:val="Normal"/>
    <w:link w:val="CommentTextChar"/>
    <w:uiPriority w:val="99"/>
    <w:unhideWhenUsed/>
    <w:rsid w:val="00AA26A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AA26A7"/>
    <w:rPr>
      <w:rFonts w:ascii="Times New Roman" w:eastAsia="Arial Unicode MS" w:hAnsi="Times New Roman" w:cs="Times New Roman"/>
      <w:kern w:val="0"/>
      <w:sz w:val="20"/>
      <w:szCs w:val="20"/>
      <w:bdr w:val="nil"/>
      <w14:ligatures w14:val="none"/>
    </w:rPr>
  </w:style>
  <w:style w:type="paragraph" w:styleId="BodyText">
    <w:name w:val="Body Text"/>
    <w:basedOn w:val="Normal"/>
    <w:link w:val="BodyTextChar"/>
    <w:uiPriority w:val="99"/>
    <w:semiHidden/>
    <w:unhideWhenUsed/>
    <w:rsid w:val="00AA26A7"/>
    <w:pPr>
      <w:spacing w:after="120"/>
    </w:pPr>
  </w:style>
  <w:style w:type="character" w:customStyle="1" w:styleId="BodyTextChar">
    <w:name w:val="Body Text Char"/>
    <w:basedOn w:val="DefaultParagraphFont"/>
    <w:link w:val="BodyText"/>
    <w:uiPriority w:val="99"/>
    <w:semiHidden/>
    <w:rsid w:val="00AA26A7"/>
  </w:style>
  <w:style w:type="paragraph" w:styleId="Revision">
    <w:name w:val="Revision"/>
    <w:hidden/>
    <w:uiPriority w:val="99"/>
    <w:semiHidden/>
    <w:rsid w:val="008B185E"/>
    <w:pPr>
      <w:spacing w:after="0" w:line="240" w:lineRule="auto"/>
    </w:pPr>
  </w:style>
  <w:style w:type="paragraph" w:styleId="FootnoteText">
    <w:name w:val="footnote text"/>
    <w:basedOn w:val="Normal"/>
    <w:link w:val="FootnoteTextChar"/>
    <w:uiPriority w:val="99"/>
    <w:semiHidden/>
    <w:unhideWhenUsed/>
    <w:rsid w:val="007E6F97"/>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E6F97"/>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7E6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99103">
      <w:bodyDiv w:val="1"/>
      <w:marLeft w:val="0"/>
      <w:marRight w:val="0"/>
      <w:marTop w:val="0"/>
      <w:marBottom w:val="0"/>
      <w:divBdr>
        <w:top w:val="none" w:sz="0" w:space="0" w:color="auto"/>
        <w:left w:val="none" w:sz="0" w:space="0" w:color="auto"/>
        <w:bottom w:val="none" w:sz="0" w:space="0" w:color="auto"/>
        <w:right w:val="none" w:sz="0" w:space="0" w:color="auto"/>
      </w:divBdr>
    </w:div>
    <w:div w:id="7487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1D997-FB0D-4755-9262-C30D5F65E233}">
  <ds:schemaRefs>
    <ds:schemaRef ds:uri="http://schemas.microsoft.com/office/2006/metadata/properties"/>
    <ds:schemaRef ds:uri="http://schemas.microsoft.com/office/infopath/2007/PartnerControls"/>
    <ds:schemaRef ds:uri="a0bb26a4-f399-4112-a022-56cec3879cf0"/>
    <ds:schemaRef ds:uri="d30789d2-46f2-40e0-bb81-f09458cad5de"/>
  </ds:schemaRefs>
</ds:datastoreItem>
</file>

<file path=customXml/itemProps2.xml><?xml version="1.0" encoding="utf-8"?>
<ds:datastoreItem xmlns:ds="http://schemas.openxmlformats.org/officeDocument/2006/customXml" ds:itemID="{9F3D61A9-2DED-4B8A-B8F5-BD49B058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65B6F-3033-4C25-95B4-06FD4ECA7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Adam</dc:creator>
  <cp:keywords/>
  <dc:description/>
  <cp:lastModifiedBy>RICKARD Adam</cp:lastModifiedBy>
  <cp:revision>152</cp:revision>
  <dcterms:created xsi:type="dcterms:W3CDTF">2024-10-04T09:27:00Z</dcterms:created>
  <dcterms:modified xsi:type="dcterms:W3CDTF">2026-04-16T14:58:00Z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MediaServiceImageTags">
    <vt:lpwstr/>
  </property>
  <property fmtid="{D5CDD505-2E9C-101B-9397-08002B2CF9AE}" pid="4" name="docLang">
    <vt:lpwstr>en</vt:lpwstr>
  </property>
</Properties>
</file>